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证券代码：001219     </w:t>
      </w:r>
      <w:r>
        <w:rPr>
          <w:rFonts w:hint="eastAsia" w:ascii="宋体" w:hAnsi="宋体" w:cs="宋体"/>
          <w:sz w:val="18"/>
          <w:szCs w:val="18"/>
          <w:lang w:val="en-US" w:eastAsia="zh-CN"/>
        </w:rPr>
        <w:t xml:space="preserve">         </w:t>
      </w:r>
      <w:r>
        <w:rPr>
          <w:rFonts w:ascii="宋体" w:hAnsi="宋体" w:eastAsia="宋体" w:cs="宋体"/>
          <w:sz w:val="18"/>
          <w:szCs w:val="18"/>
        </w:rPr>
        <w:t xml:space="preserve">           证券简称：青岛食品     </w:t>
      </w:r>
      <w:r>
        <w:rPr>
          <w:rFonts w:hint="eastAsia" w:ascii="宋体" w:hAnsi="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2024-035</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青岛食品股份有限公司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2024年第三季度报告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1.董事会、监事会及董事、监事、高级管理人员保证季度报告的真实、准确、完整，不存在虚假记载、误导性陈述或重大遗漏，并承担个别和连带的法律责任。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2.公司负责人、主管会计工作负责人及会计机构负责人(会计主管人员)声明：保证季度报告中财务信息的真实、准确、完整。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3.第三季度报告是否经过审计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p>
      <w:pPr>
        <w:keepNext/>
        <w:keepLines/>
        <w:pageBreakBefore w:val="0"/>
        <w:widowControl w:val="0"/>
        <w:kinsoku/>
        <w:wordWrap/>
        <w:overflowPunct/>
        <w:topLinePunct w:val="0"/>
        <w:autoSpaceDE/>
        <w:autoSpaceDN/>
        <w:bidi w:val="0"/>
        <w:adjustRightInd/>
        <w:snapToGrid/>
        <w:spacing w:before="200" w:after="200" w:line="320" w:lineRule="exact"/>
        <w:jc w:val="left"/>
        <w:textAlignment w:val="auto"/>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1" w:name="_Toc988890"/>
      <w:r>
        <w:rPr>
          <w:rFonts w:ascii="宋体" w:hAnsi="宋体" w:eastAsia="宋体" w:cs="宋体"/>
          <w:b/>
          <w:bCs/>
          <w:sz w:val="21"/>
          <w:szCs w:val="21"/>
        </w:rPr>
        <w:t>（一）主要会计数据和财务指标</w:t>
      </w:r>
      <w:bookmarkEnd w:id="1"/>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公司是否需追溯调整或重述以前年度会计数据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1656"/>
        <w:gridCol w:w="1952"/>
        <w:gridCol w:w="1477"/>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tc>
        <w:tc>
          <w:tcPr>
            <w:tcW w:w="840"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990"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749"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934"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133,050,530.64</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395,264,847.29</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26,561,323.75</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23.44%</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22,593,227.70</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74,817,605.31</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840" w:type="pc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90" w:type="pct"/>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61,896,437.17</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0.39%</w:t>
            </w:r>
          </w:p>
        </w:tc>
        <w:tc>
          <w:tcPr>
            <w:tcW w:w="74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w:t>
            </w:r>
          </w:p>
        </w:tc>
        <w:tc>
          <w:tcPr>
            <w:tcW w:w="934"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tc>
        <w:tc>
          <w:tcPr>
            <w:tcW w:w="840"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990"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1683" w:type="pct"/>
            <w:gridSpan w:val="2"/>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1,099,996,864.98</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c>
          <w:tcPr>
            <w:tcW w:w="1683"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pct"/>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84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1,016,478,215.67</w:t>
            </w:r>
          </w:p>
        </w:tc>
        <w:tc>
          <w:tcPr>
            <w:tcW w:w="990"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c>
          <w:tcPr>
            <w:tcW w:w="1683"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w:t>
            </w:r>
          </w:p>
        </w:tc>
      </w:tr>
    </w:tbl>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2" w:name="_Toc988891"/>
      <w:r>
        <w:rPr>
          <w:rFonts w:ascii="宋体" w:hAnsi="宋体" w:eastAsia="宋体" w:cs="宋体"/>
          <w:b/>
          <w:bCs/>
          <w:sz w:val="21"/>
          <w:szCs w:val="21"/>
        </w:rPr>
        <w:t>（二）非经常性损益项目和金额</w:t>
      </w:r>
      <w:bookmarkEnd w:id="2"/>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sym w:font="Wingdings 2" w:char="F052"/>
      </w:r>
      <w:r>
        <w:rPr>
          <w:rFonts w:ascii="宋体" w:hAnsi="宋体" w:eastAsia="宋体" w:cs="宋体"/>
          <w:sz w:val="21"/>
          <w:szCs w:val="21"/>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41"/>
        <w:gridCol w:w="1471"/>
        <w:gridCol w:w="1386"/>
        <w:gridCol w:w="1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46"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703"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789"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195,986.51</w:t>
            </w: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367,659.13</w:t>
            </w:r>
          </w:p>
        </w:tc>
        <w:tc>
          <w:tcPr>
            <w:tcW w:w="789"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主要系收到政府补助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4,644,808.22</w:t>
            </w: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14,520,175.35</w:t>
            </w:r>
          </w:p>
        </w:tc>
        <w:tc>
          <w:tcPr>
            <w:tcW w:w="789"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主要系购买交易性金融资产取得的收益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450,000.00</w:t>
            </w: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809,465.24</w:t>
            </w:r>
          </w:p>
        </w:tc>
        <w:tc>
          <w:tcPr>
            <w:tcW w:w="789"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已计提信用减值损失部分转回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12,942.81</w:t>
            </w:r>
          </w:p>
        </w:tc>
        <w:tc>
          <w:tcPr>
            <w:tcW w:w="789"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主要系收到的赔付款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1,322,698.68</w:t>
            </w: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3,927,560.63</w:t>
            </w:r>
          </w:p>
        </w:tc>
        <w:tc>
          <w:tcPr>
            <w:tcW w:w="789"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760"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6"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3,968,096.05</w:t>
            </w:r>
          </w:p>
        </w:tc>
        <w:tc>
          <w:tcPr>
            <w:tcW w:w="703" w:type="pc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11,782,681.90</w:t>
            </w:r>
          </w:p>
        </w:tc>
        <w:tc>
          <w:tcPr>
            <w:tcW w:w="789" w:type="pc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其他符合非经常性损益定义的损益项目的具体情况：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公司不存在其他符合非经常性损益定义的损益项目的具体情况。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将《公开发行证券的公司信息披露解释性公告第1号——非经常性损益》中列举的非经常性损益项目界定为经常性损益项目的情况说明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公司不存在将《公开发行证券的公司信息披露解释性公告第1号——非经常性损益》中列举的非经常性损益项目界定为经常性损益的项目的情形。</w:t>
      </w:r>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3" w:name="_Toc988892"/>
      <w:r>
        <w:rPr>
          <w:rFonts w:ascii="宋体" w:hAnsi="宋体" w:eastAsia="宋体" w:cs="宋体"/>
          <w:b/>
          <w:bCs/>
          <w:sz w:val="21"/>
          <w:szCs w:val="21"/>
        </w:rPr>
        <w:t>（三）主要会计数据和财务指标发生变动的情况及原因</w:t>
      </w:r>
      <w:bookmarkEnd w:id="3"/>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sym w:font="Wingdings 2" w:char="F052"/>
      </w:r>
      <w:r>
        <w:rPr>
          <w:rFonts w:ascii="宋体" w:hAnsi="宋体" w:eastAsia="宋体" w:cs="宋体"/>
          <w:sz w:val="21"/>
          <w:szCs w:val="21"/>
        </w:rPr>
        <w:t>适用 □不适用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hint="eastAsia" w:ascii="宋体" w:hAnsi="宋体" w:eastAsia="宋体" w:cs="宋体"/>
          <w:sz w:val="21"/>
          <w:szCs w:val="21"/>
        </w:rPr>
        <w:t>一、资产负债表项目</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18"/>
          <w:szCs w:val="18"/>
        </w:rPr>
      </w:pPr>
      <w:r>
        <w:rPr>
          <w:rFonts w:hint="eastAsia" w:ascii="宋体" w:hAnsi="宋体" w:eastAsia="宋体" w:cs="宋体"/>
          <w:sz w:val="18"/>
          <w:szCs w:val="18"/>
        </w:rPr>
        <w:t>单位：元</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6"/>
        <w:gridCol w:w="1540"/>
        <w:gridCol w:w="1426"/>
        <w:gridCol w:w="1184"/>
        <w:gridCol w:w="4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96" w:type="pct"/>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2024年9月30日</w:t>
            </w:r>
          </w:p>
        </w:tc>
        <w:tc>
          <w:tcPr>
            <w:tcW w:w="737" w:type="pct"/>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2024年1月1日</w:t>
            </w:r>
          </w:p>
        </w:tc>
        <w:tc>
          <w:tcPr>
            <w:tcW w:w="612" w:type="pct"/>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增减变动率</w:t>
            </w:r>
          </w:p>
        </w:tc>
        <w:tc>
          <w:tcPr>
            <w:tcW w:w="2110" w:type="pct"/>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情况说明、主要原因分析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2,170,333.43</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8,798,112.20</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主要系应收票据背书支付货款所致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预付款项</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2,387,798.83</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584,490.48</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308.53%</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主要系预付设备款、材料款、保证金等增加所致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其他应收款</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112,718.40</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1,628,815.31</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-93.08%</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主要系本报告期内收回房租所致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存货</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34,918,484.87</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26,064,134.00</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33.97%</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根据市场变化和需求，合理调整库存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一年内到期的非流动资产</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30,050,250.00</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主要系本报告期内大额存单到期赎回所致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其他流动资产</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231,397.29</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主要系同期应交税费重分类到其他流动资产所致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合同负债</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20,057,108.57</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29,412,547.01</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-31.81%</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主要系</w:t>
            </w:r>
            <w:r>
              <w:rPr>
                <w:rFonts w:hint="eastAsia" w:ascii="宋体" w:hAnsi="宋体" w:cs="宋体"/>
                <w:i w:val="0"/>
                <w:iCs w:val="0"/>
                <w:color w:val="000000"/>
                <w:kern w:val="0"/>
                <w:sz w:val="18"/>
                <w:szCs w:val="18"/>
                <w:u w:val="none"/>
                <w:lang w:val="en-US" w:eastAsia="zh-CN" w:bidi="ar"/>
              </w:rPr>
              <w:t>预收货款减少所致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应交税费</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7,340,339.83</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2,592,043.70</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183.19%</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主要系原材料采购价格降低，进项税额减少所致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其他应付款</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13,531,375.83</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10,754,518.74</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主要系应付股利等相关费用增加所致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其他流动负债</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762,668.43</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1,309,429.29</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-41.76%</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主要系待转销项税额减少所致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实收资本（或股本）</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194,983,750.00</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149,987,500.00</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主要系资本公积金转增股本所致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专项储备</w:t>
            </w:r>
          </w:p>
        </w:tc>
        <w:tc>
          <w:tcPr>
            <w:tcW w:w="7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826,615.34</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586,618.79</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w:t>
            </w:r>
          </w:p>
        </w:tc>
        <w:tc>
          <w:tcPr>
            <w:tcW w:w="2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主要系计提安全生产费所致</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hint="eastAsia" w:ascii="宋体" w:hAnsi="宋体" w:eastAsia="宋体" w:cs="宋体"/>
          <w:sz w:val="21"/>
          <w:szCs w:val="21"/>
        </w:rPr>
        <w:t>二、利润表项目</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18"/>
          <w:szCs w:val="18"/>
        </w:rPr>
      </w:pPr>
      <w:r>
        <w:rPr>
          <w:rFonts w:hint="eastAsia" w:ascii="宋体" w:hAnsi="宋体" w:eastAsia="宋体" w:cs="宋体"/>
          <w:sz w:val="18"/>
          <w:szCs w:val="18"/>
        </w:rPr>
        <w:t>单位：元</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61"/>
        <w:gridCol w:w="1510"/>
        <w:gridCol w:w="1409"/>
        <w:gridCol w:w="1121"/>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trPr>
        <w:tc>
          <w:tcPr>
            <w:tcW w:w="2061"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10" w:type="dxa"/>
            <w:shd w:val="clear" w:color="auto" w:fill="D7D7D7" w:themeFill="background1" w:themeFillShade="D8"/>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2024年1-9月</w:t>
            </w:r>
          </w:p>
        </w:tc>
        <w:tc>
          <w:tcPr>
            <w:tcW w:w="1409"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2023年1-9月</w:t>
            </w:r>
          </w:p>
        </w:tc>
        <w:tc>
          <w:tcPr>
            <w:tcW w:w="580"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增减变动率</w:t>
            </w:r>
          </w:p>
        </w:tc>
        <w:tc>
          <w:tcPr>
            <w:tcW w:w="1842"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情况说明、主要原因分析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销售费用</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21,562,071.42</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13,406,121.77</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60.84%</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主要系本报告期内促销费用增加所致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其他收益</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367,659.13</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1,179,857.86</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-68.84%</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主要系本报告期内政府补助减少所致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投资收益</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11,111,418.70</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15,460,070.24</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-28.13%</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主要系购买结构性存款收益减少等因素所致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公允价值变动损益</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1,313,068.49</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1,976,517.81</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-33.57%</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主要系未到期结构性存款预期收益减少所致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信用减值损失</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718,436.24</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45,757.02</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1470.11%</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主要系其他应收款坏账准备转回所致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资产减值损失</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404,671.23</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-112,850.52</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458.59%</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主要系存货跌价准备转回所致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06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营业外收入</w:t>
            </w:r>
          </w:p>
        </w:tc>
        <w:tc>
          <w:tcPr>
            <w:tcW w:w="781"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12,942.81</w:t>
            </w:r>
          </w:p>
        </w:tc>
        <w:tc>
          <w:tcPr>
            <w:tcW w:w="729"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55,494.63</w:t>
            </w:r>
          </w:p>
        </w:tc>
        <w:tc>
          <w:tcPr>
            <w:tcW w:w="580"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-76.68%</w:t>
            </w:r>
          </w:p>
        </w:tc>
        <w:tc>
          <w:tcPr>
            <w:tcW w:w="1842"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主要系赔付款较去年同期减少所致</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三、现金流量表项目</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18"/>
          <w:szCs w:val="18"/>
        </w:rPr>
      </w:pPr>
      <w:r>
        <w:rPr>
          <w:rFonts w:hint="eastAsia" w:ascii="宋体" w:hAnsi="宋体" w:eastAsia="宋体" w:cs="宋体"/>
          <w:sz w:val="18"/>
          <w:szCs w:val="18"/>
        </w:rPr>
        <w:t>单位：元</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86"/>
        <w:gridCol w:w="1206"/>
        <w:gridCol w:w="1299"/>
        <w:gridCol w:w="936"/>
        <w:gridCol w:w="3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trPr>
        <w:tc>
          <w:tcPr>
            <w:tcW w:w="1234"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624"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2024年1-9月</w:t>
            </w:r>
          </w:p>
        </w:tc>
        <w:tc>
          <w:tcPr>
            <w:tcW w:w="672"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2023年1-9月</w:t>
            </w:r>
          </w:p>
        </w:tc>
        <w:tc>
          <w:tcPr>
            <w:tcW w:w="484"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增减变动率</w:t>
            </w:r>
          </w:p>
        </w:tc>
        <w:tc>
          <w:tcPr>
            <w:tcW w:w="1984" w:type="pct"/>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情况说明、主要原因分析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34"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经营活动产生的现金流量净额</w:t>
            </w:r>
          </w:p>
        </w:tc>
        <w:tc>
          <w:tcPr>
            <w:tcW w:w="62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61,896,437.17</w:t>
            </w:r>
          </w:p>
        </w:tc>
        <w:tc>
          <w:tcPr>
            <w:tcW w:w="672"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41,635,728.23</w:t>
            </w:r>
          </w:p>
        </w:tc>
        <w:tc>
          <w:tcPr>
            <w:tcW w:w="48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w:t>
            </w:r>
          </w:p>
        </w:tc>
        <w:tc>
          <w:tcPr>
            <w:tcW w:w="1984"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主要系报告期内收到的货款增加所致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34"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投资活动产生的现金流量净额</w:t>
            </w:r>
          </w:p>
        </w:tc>
        <w:tc>
          <w:tcPr>
            <w:tcW w:w="62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28,693,712.38</w:t>
            </w:r>
          </w:p>
        </w:tc>
        <w:tc>
          <w:tcPr>
            <w:tcW w:w="672"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-56,939,795.96</w:t>
            </w:r>
          </w:p>
        </w:tc>
        <w:tc>
          <w:tcPr>
            <w:tcW w:w="48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150.39%</w:t>
            </w:r>
          </w:p>
        </w:tc>
        <w:tc>
          <w:tcPr>
            <w:tcW w:w="1984"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主要系赎回到期结构性存款较去年同期增加所致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34"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汇率变动对现金的影响额</w:t>
            </w:r>
          </w:p>
        </w:tc>
        <w:tc>
          <w:tcPr>
            <w:tcW w:w="62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-239,053.65</w:t>
            </w:r>
          </w:p>
        </w:tc>
        <w:tc>
          <w:tcPr>
            <w:tcW w:w="672"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23,428.97</w:t>
            </w:r>
          </w:p>
        </w:tc>
        <w:tc>
          <w:tcPr>
            <w:tcW w:w="484" w:type="pct"/>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-1120.33%</w:t>
            </w:r>
          </w:p>
        </w:tc>
        <w:tc>
          <w:tcPr>
            <w:tcW w:w="1984" w:type="pc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主要系本报告期内货币汇率较去年同期下降所致</w:t>
            </w:r>
          </w:p>
        </w:tc>
      </w:tr>
    </w:tbl>
    <w:p>
      <w:pPr>
        <w:keepNext/>
        <w:keepLines/>
        <w:pageBreakBefore w:val="0"/>
        <w:widowControl w:val="0"/>
        <w:kinsoku/>
        <w:wordWrap/>
        <w:overflowPunct/>
        <w:topLinePunct w:val="0"/>
        <w:autoSpaceDE/>
        <w:autoSpaceDN/>
        <w:bidi w:val="0"/>
        <w:adjustRightInd/>
        <w:snapToGrid/>
        <w:spacing w:before="200" w:after="200" w:line="320" w:lineRule="exact"/>
        <w:jc w:val="left"/>
        <w:textAlignment w:val="auto"/>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5" w:name="_Toc988894"/>
      <w:r>
        <w:rPr>
          <w:rFonts w:ascii="宋体" w:hAnsi="宋体" w:eastAsia="宋体" w:cs="宋体"/>
          <w:b/>
          <w:bCs/>
          <w:sz w:val="21"/>
          <w:szCs w:val="21"/>
        </w:rPr>
        <w:t>（一）普通股股东总数和表决权恢复的优先股股东数量及前十名股东持股情况表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1478"/>
        <w:gridCol w:w="984"/>
        <w:gridCol w:w="1188"/>
        <w:gridCol w:w="1267"/>
        <w:gridCol w:w="1322"/>
        <w:gridCol w:w="45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16,712</w:t>
            </w:r>
          </w:p>
        </w:tc>
        <w:tc>
          <w:tcPr>
            <w:tcW w:w="2153" w:type="pct"/>
            <w:gridSpan w:val="4"/>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339"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752" w:type="pct"/>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501" w:type="pct"/>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605" w:type="pct"/>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645" w:type="pct"/>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242" w:type="pct"/>
            <w:gridSpan w:val="3"/>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Merge w:val="continue"/>
            <w:shd w:val="clear" w:color="auto" w:fill="D3D3D3"/>
            <w:vAlign w:val="center"/>
          </w:tcPr>
          <w:p/>
        </w:tc>
        <w:tc>
          <w:tcPr>
            <w:tcW w:w="752" w:type="pct"/>
            <w:vMerge w:val="continue"/>
            <w:shd w:val="clear" w:color="auto" w:fill="D3D3D3"/>
            <w:vAlign w:val="center"/>
          </w:tcPr>
          <w:p/>
        </w:tc>
        <w:tc>
          <w:tcPr>
            <w:tcW w:w="501" w:type="pct"/>
            <w:vMerge w:val="continue"/>
            <w:shd w:val="clear" w:color="auto" w:fill="D3D3D3"/>
            <w:vAlign w:val="center"/>
          </w:tcPr>
          <w:p/>
        </w:tc>
        <w:tc>
          <w:tcPr>
            <w:tcW w:w="605" w:type="pct"/>
            <w:vMerge w:val="continue"/>
            <w:shd w:val="clear" w:color="auto" w:fill="D3D3D3"/>
            <w:vAlign w:val="center"/>
          </w:tcPr>
          <w:p/>
        </w:tc>
        <w:tc>
          <w:tcPr>
            <w:tcW w:w="645" w:type="pct"/>
            <w:vMerge w:val="continue"/>
            <w:shd w:val="clear" w:color="auto" w:fill="D3D3D3"/>
            <w:vAlign w:val="center"/>
          </w:tcPr>
          <w:p/>
        </w:tc>
        <w:tc>
          <w:tcPr>
            <w:tcW w:w="673"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569" w:type="pct"/>
            <w:gridSpan w:val="2"/>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5,159,247</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5,159,247</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0.90%</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1,750,672</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任伟</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1,508,514</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青岛欧森海事技术服务有限公司</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0.53%</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1,028,885</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BARCLAYS BANK PLC</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1,015,668</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935,944</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791,170</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穆桂华</w:t>
            </w:r>
          </w:p>
        </w:tc>
        <w:tc>
          <w:tcPr>
            <w:tcW w:w="752"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501"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c>
          <w:tcPr>
            <w:tcW w:w="60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663,767</w:t>
            </w:r>
          </w:p>
        </w:tc>
        <w:tc>
          <w:tcPr>
            <w:tcW w:w="645" w:type="pct"/>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751" w:type="pct"/>
            <w:gridSpan w:val="3"/>
            <w:vMerge w:val="restar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1242" w:type="pct"/>
            <w:gridSpan w:val="3"/>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Merge w:val="continue"/>
            <w:shd w:val="clear" w:color="auto" w:fill="D3D3D3"/>
            <w:vAlign w:val="center"/>
          </w:tcPr>
          <w:p/>
        </w:tc>
        <w:tc>
          <w:tcPr>
            <w:tcW w:w="1751" w:type="pct"/>
            <w:gridSpan w:val="3"/>
            <w:vMerge w:val="continue"/>
            <w:shd w:val="clear" w:color="auto" w:fill="D3D3D3"/>
            <w:vAlign w:val="center"/>
          </w:tcPr>
          <w:p/>
        </w:tc>
        <w:tc>
          <w:tcPr>
            <w:tcW w:w="673" w:type="pct"/>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569" w:type="pct"/>
            <w:gridSpan w:val="2"/>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1,750,672</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任伟</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1,508,514</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1,508,514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青岛欧森海事技术服务有限公司</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1,028,885</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BARCLAYS BANK PLC</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1,015,668</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935,944</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791,170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穆桂华</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663,767</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王红梅</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659,100</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毛剑东</w:t>
            </w:r>
          </w:p>
        </w:tc>
        <w:tc>
          <w:tcPr>
            <w:tcW w:w="1751" w:type="pct"/>
            <w:gridSpan w:val="3"/>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650,023</w:t>
            </w:r>
          </w:p>
        </w:tc>
        <w:tc>
          <w:tcPr>
            <w:tcW w:w="673" w:type="pct"/>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569" w:type="pct"/>
            <w:gridSpan w:val="2"/>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2993" w:type="pct"/>
            <w:gridSpan w:val="6"/>
            <w:vAlign w:val="center"/>
          </w:tcPr>
          <w:p>
            <w:pPr>
              <w:spacing w:before="0" w:after="0" w:line="240" w:lineRule="exact"/>
              <w:jc w:val="left"/>
              <w:rPr>
                <w:rFonts w:ascii="宋体" w:hAnsi="宋体" w:eastAsia="宋体" w:cs="宋体"/>
                <w:sz w:val="18"/>
                <w:szCs w:val="18"/>
              </w:rPr>
            </w:pPr>
            <w:r>
              <w:rPr>
                <w:rFonts w:hint="eastAsia" w:ascii="宋体" w:hAnsi="宋体" w:eastAsia="宋体" w:cs="宋体"/>
                <w:sz w:val="18"/>
                <w:szCs w:val="18"/>
              </w:rPr>
              <w:t>公司未知上述股东之间是否存在关联关系或</w:t>
            </w:r>
            <w:r>
              <w:rPr>
                <w:rFonts w:hint="eastAsia" w:ascii="宋体" w:hAnsi="宋体" w:cs="宋体"/>
                <w:sz w:val="18"/>
                <w:szCs w:val="18"/>
                <w:lang w:val="en-US" w:eastAsia="zh-CN"/>
              </w:rPr>
              <w:t>为</w:t>
            </w:r>
            <w:bookmarkStart w:id="15" w:name="_GoBack"/>
            <w:bookmarkEnd w:id="15"/>
            <w:r>
              <w:rPr>
                <w:rFonts w:hint="eastAsia" w:ascii="宋体" w:hAnsi="宋体" w:eastAsia="宋体" w:cs="宋体"/>
                <w:sz w:val="18"/>
                <w:szCs w:val="18"/>
              </w:rPr>
              <w:t>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6" w:type="pct"/>
            <w:gridSpan w:val="2"/>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w:t>
            </w:r>
          </w:p>
        </w:tc>
        <w:tc>
          <w:tcPr>
            <w:tcW w:w="2993" w:type="pct"/>
            <w:gridSpan w:val="6"/>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持股5%以上股东、前10名股东及前10名无限售流通股股东参与转融通业务出借股份情况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前10名股东及前10名无限售流通股股东因转融通出借/归还原因导致较上期发生变化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6" w:name="_Toc988895"/>
      <w:r>
        <w:rPr>
          <w:rFonts w:ascii="宋体" w:hAnsi="宋体" w:eastAsia="宋体" w:cs="宋体"/>
          <w:b/>
          <w:bCs/>
          <w:sz w:val="21"/>
          <w:szCs w:val="21"/>
        </w:rPr>
        <w:t>（二）公司优先股股东总数及前10名优先股股东持股情况表</w:t>
      </w:r>
      <w:bookmarkEnd w:id="6"/>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pageBreakBefore w:val="0"/>
        <w:widowControl w:val="0"/>
        <w:kinsoku/>
        <w:wordWrap/>
        <w:overflowPunct/>
        <w:topLinePunct w:val="0"/>
        <w:autoSpaceDE/>
        <w:autoSpaceDN/>
        <w:bidi w:val="0"/>
        <w:adjustRightInd/>
        <w:snapToGrid/>
        <w:spacing w:before="200" w:after="200" w:line="320" w:lineRule="exact"/>
        <w:jc w:val="left"/>
        <w:textAlignment w:val="auto"/>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rPr>
          <w:rFonts w:ascii="宋体" w:hAnsi="宋体" w:eastAsia="宋体" w:cs="宋体"/>
          <w:sz w:val="21"/>
          <w:szCs w:val="21"/>
        </w:rPr>
      </w:pPr>
      <w:r>
        <w:rPr>
          <w:rFonts w:ascii="宋体" w:hAnsi="宋体" w:eastAsia="宋体" w:cs="宋体"/>
          <w:sz w:val="21"/>
          <w:szCs w:val="21"/>
        </w:rPr>
        <w:br w:type="page"/>
      </w:r>
    </w:p>
    <w:p>
      <w:pPr>
        <w:keepNext/>
        <w:keepLines/>
        <w:pageBreakBefore w:val="0"/>
        <w:widowControl w:val="0"/>
        <w:kinsoku/>
        <w:wordWrap/>
        <w:overflowPunct/>
        <w:topLinePunct w:val="0"/>
        <w:autoSpaceDE/>
        <w:autoSpaceDN/>
        <w:bidi w:val="0"/>
        <w:adjustRightInd/>
        <w:snapToGrid/>
        <w:spacing w:before="200" w:after="200" w:line="320" w:lineRule="exact"/>
        <w:jc w:val="left"/>
        <w:textAlignment w:val="auto"/>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9" w:name="_Toc988898"/>
      <w:r>
        <w:rPr>
          <w:rFonts w:ascii="宋体" w:hAnsi="宋体" w:eastAsia="宋体" w:cs="宋体"/>
          <w:b/>
          <w:bCs/>
          <w:sz w:val="21"/>
          <w:szCs w:val="21"/>
        </w:rPr>
        <w:t>（一）财务报表</w:t>
      </w:r>
      <w:bookmarkEnd w:id="9"/>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编制单位：青岛食品股份有限公司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2024年09月30日</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213"/>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shd w:val="clear" w:color="auto" w:fill="D3D3D3"/>
            <w:vAlign w:val="center"/>
          </w:tcPr>
          <w:p/>
        </w:tc>
        <w:tc>
          <w:tcPr>
            <w:tcW w:w="3213"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216,754,676.38</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170,348,709.40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681,313,068.49</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762,076,841.08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2,170,333.43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8,798,112.20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10,206,319.10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12,630,216.94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1,637,589.65</w:t>
            </w: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2,387,798.83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584,490.48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112,718.40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1,628,815.31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34,918,484.87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26,064,134.00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30,050,250.00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231,397.29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949,500,989.15</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1,012,412,966.70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shd w:val="clear" w:color="auto" w:fill="D3D3D3"/>
            <w:vAlign w:val="center"/>
          </w:tcPr>
          <w:p/>
        </w:tc>
        <w:tc>
          <w:tcPr>
            <w:tcW w:w="3213"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80,474,561.64</w:t>
            </w: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10,442,558.54</w:t>
            </w: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8,441,538.53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8,764,835.27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27,181,497.00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28,892,666.74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322,925.26</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324,568.79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14,776,624.58</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15,392,345.22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625,624.77</w:t>
            </w: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5,466,846.39</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5,753,771.76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2,763,699.12</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2,899,299.12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150,495,875.83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62,027,486.90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1,099,996,864.98</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shd w:val="clear" w:color="auto" w:fill="D3D3D3"/>
            <w:vAlign w:val="center"/>
          </w:tcPr>
          <w:p/>
        </w:tc>
        <w:tc>
          <w:tcPr>
            <w:tcW w:w="3213"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38,220,469.97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52,521,140.01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437,738.10</w:t>
            </w: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20,057,108.57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29,412,547.01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2,363,533.28</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2,277,313.44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7,340,339.83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2,592,043.70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13,531,375.83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10,754,518.74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7,163,620.00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6,152,399.80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762,668.43</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1,309,429.29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82,713,234.01</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98,866,992.19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shd w:val="clear" w:color="auto" w:fill="D3D3D3"/>
            <w:vAlign w:val="center"/>
          </w:tcPr>
          <w:p/>
        </w:tc>
        <w:tc>
          <w:tcPr>
            <w:tcW w:w="3213"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805,415.30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939,279.50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805,415.30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939,279.50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83,518,649.31</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99,806,271.69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shd w:val="clear" w:color="auto" w:fill="D3D3D3"/>
            <w:vAlign w:val="center"/>
          </w:tcPr>
          <w:p/>
        </w:tc>
        <w:tc>
          <w:tcPr>
            <w:tcW w:w="3213"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194,983,750.00</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149,987,500.00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262,967,841.64</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307,964,091.64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826,615.34</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586,618.79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56,083,854.77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56,083,854.77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501,616,153.92</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460,012,116.71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1,016,478,215.67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vAlign w:val="center"/>
          </w:tcPr>
          <w:p>
            <w:pPr>
              <w:spacing w:before="0" w:after="0" w:line="240" w:lineRule="exact"/>
              <w:jc w:val="right"/>
              <w:rPr>
                <w:rFonts w:ascii="宋体" w:hAnsi="宋体" w:eastAsia="宋体" w:cs="宋体"/>
                <w:sz w:val="18"/>
                <w:szCs w:val="18"/>
              </w:rPr>
            </w:pPr>
          </w:p>
        </w:tc>
        <w:tc>
          <w:tcPr>
            <w:tcW w:w="3213"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1,016,478,215.67</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1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1,099,996,864.98</w:t>
            </w:r>
          </w:p>
        </w:tc>
        <w:tc>
          <w:tcPr>
            <w:tcW w:w="3213"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r>
    </w:tbl>
    <w:p>
      <w:pPr>
        <w:spacing w:before="100" w:after="100" w:line="240" w:lineRule="exact"/>
        <w:jc w:val="center"/>
        <w:rPr>
          <w:rFonts w:ascii="宋体" w:hAnsi="宋体" w:eastAsia="宋体" w:cs="宋体"/>
          <w:sz w:val="18"/>
          <w:szCs w:val="18"/>
        </w:rPr>
      </w:pPr>
      <w:bookmarkStart w:id="11" w:name="_Toc988900"/>
      <w:r>
        <w:rPr>
          <w:rFonts w:ascii="宋体" w:hAnsi="宋体" w:eastAsia="宋体" w:cs="宋体"/>
          <w:sz w:val="18"/>
          <w:szCs w:val="18"/>
        </w:rPr>
        <w:t xml:space="preserve">法定代表人：苏青林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主管会计工作负责人：程相伟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会计机构负责人：程相伟</w:t>
      </w:r>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2"/>
        <w:rPr>
          <w:rFonts w:ascii="宋体" w:hAnsi="宋体" w:eastAsia="宋体" w:cs="宋体"/>
          <w:b/>
          <w:bCs/>
          <w:sz w:val="21"/>
          <w:szCs w:val="21"/>
        </w:rPr>
      </w:pPr>
      <w:r>
        <w:rPr>
          <w:rFonts w:ascii="宋体" w:hAnsi="宋体" w:eastAsia="宋体" w:cs="宋体"/>
          <w:b/>
          <w:bCs/>
          <w:sz w:val="21"/>
          <w:szCs w:val="21"/>
        </w:rPr>
        <w:t>2、合并年初到报告期末利润表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3"/>
        <w:gridCol w:w="2310"/>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2310"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166"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395,264,847.29</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376,580,264.49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395,264,847.29</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376,580,264.49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294,464,756.75</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295,376,807.40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247,397,020.57</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254,006,761.48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4,813,751.45</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4,503,547.33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21,562,071.42</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13,406,121.77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21,316,631.07</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24,277,438.79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1,500,943.16</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1,223,175.38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-2,125,660.92</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-2,040,237.35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2,474,599.52</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1,966,051.31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367,659.13</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1,179,857.86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11,111,418.70</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15,460,070.24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-2,606,541.46</w:t>
            </w: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1,313,068.49</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1,976,517.81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718,436.24</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404,671.23</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-112,850.52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114,715,344.33</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99,752,809.50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12,942.81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55,494.63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114,728,287.14</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99,808,304.13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28,127,999.93</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24,934,377.90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74,873,926.23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2310" w:type="dxa"/>
            <w:shd w:val="clear" w:color="auto" w:fill="D3D3D3"/>
            <w:vAlign w:val="center"/>
          </w:tcPr>
          <w:p/>
        </w:tc>
        <w:tc>
          <w:tcPr>
            <w:tcW w:w="2166"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74,873,926.23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2310" w:type="dxa"/>
            <w:shd w:val="clear" w:color="auto" w:fill="D3D3D3"/>
            <w:vAlign w:val="center"/>
          </w:tcPr>
          <w:p/>
        </w:tc>
        <w:tc>
          <w:tcPr>
            <w:tcW w:w="2166"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74,873,926.23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74,873,926.23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86,600,287.21</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74,873,926.23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2310" w:type="dxa"/>
            <w:vAlign w:val="center"/>
          </w:tcPr>
          <w:p>
            <w:pPr>
              <w:spacing w:before="0" w:after="0" w:line="240" w:lineRule="exact"/>
              <w:jc w:val="right"/>
              <w:rPr>
                <w:rFonts w:ascii="宋体" w:hAnsi="宋体" w:eastAsia="宋体" w:cs="宋体"/>
                <w:sz w:val="18"/>
                <w:szCs w:val="18"/>
              </w:rPr>
            </w:pPr>
          </w:p>
        </w:tc>
        <w:tc>
          <w:tcPr>
            <w:tcW w:w="2166"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2310" w:type="dxa"/>
            <w:shd w:val="clear" w:color="auto" w:fill="D3D3D3"/>
            <w:vAlign w:val="center"/>
          </w:tcPr>
          <w:p/>
        </w:tc>
        <w:tc>
          <w:tcPr>
            <w:tcW w:w="2166"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63"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231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2166"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r>
    </w:tbl>
    <w:p>
      <w:pPr>
        <w:spacing w:before="100" w:after="100" w:line="240" w:lineRule="exact"/>
        <w:jc w:val="center"/>
        <w:rPr>
          <w:rFonts w:ascii="宋体" w:hAnsi="宋体" w:eastAsia="宋体" w:cs="宋体"/>
          <w:sz w:val="18"/>
          <w:szCs w:val="18"/>
        </w:rPr>
      </w:pPr>
      <w:r>
        <w:rPr>
          <w:rFonts w:ascii="宋体" w:hAnsi="宋体" w:eastAsia="宋体" w:cs="宋体"/>
          <w:sz w:val="18"/>
          <w:szCs w:val="18"/>
        </w:rPr>
        <w:t xml:space="preserve">法定代表人：苏青林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主管会计工作负责人：程相伟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会计机构负责人：程相伟</w:t>
      </w:r>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243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2430"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271" w:type="dxa"/>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2430" w:type="dxa"/>
            <w:shd w:val="clear" w:color="auto" w:fill="D3D3D3"/>
            <w:vAlign w:val="center"/>
          </w:tcPr>
          <w:p/>
        </w:tc>
        <w:tc>
          <w:tcPr>
            <w:tcW w:w="2271"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417,866,858.39</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398,434,251.13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387,407.33</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10,515,427.70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7,636,312.28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428,769,693.42</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406,170,769.33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246,129,335.13</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233,905,381.51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51,440,382.75</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56,219,999.19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50,138,295.57</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53,300,423.28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19,165,242.80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21,109,237.12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366,873,256.25</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364,535,041.10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61,896,437.17</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41,635,728.23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2430" w:type="dxa"/>
            <w:shd w:val="clear" w:color="auto" w:fill="D3D3D3"/>
            <w:vAlign w:val="center"/>
          </w:tcPr>
          <w:p/>
        </w:tc>
        <w:tc>
          <w:tcPr>
            <w:tcW w:w="2271"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2,250,000,000.00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15,370,489.60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18,428,804.38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2,265,370,489.60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1,488,428,804.38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3,627,677.22</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5,368,600.34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2,233,049,100.00</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2,236,676,777.22</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1,545,368,600.34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28,693,712.38</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-56,939,795.96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2430" w:type="dxa"/>
            <w:shd w:val="clear" w:color="auto" w:fill="D3D3D3"/>
            <w:vAlign w:val="center"/>
          </w:tcPr>
          <w:p/>
        </w:tc>
        <w:tc>
          <w:tcPr>
            <w:tcW w:w="2271" w:type="dxa"/>
            <w:shd w:val="clear" w:color="auto" w:fill="D3D3D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43,945,703.86</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34,003,361.70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2430" w:type="dxa"/>
            <w:vAlign w:val="center"/>
          </w:tcPr>
          <w:p>
            <w:pPr>
              <w:spacing w:before="0" w:after="0" w:line="240" w:lineRule="exact"/>
              <w:jc w:val="right"/>
              <w:rPr>
                <w:rFonts w:ascii="宋体" w:hAnsi="宋体" w:eastAsia="宋体" w:cs="宋体"/>
                <w:sz w:val="18"/>
                <w:szCs w:val="18"/>
              </w:rPr>
            </w:pPr>
          </w:p>
        </w:tc>
        <w:tc>
          <w:tcPr>
            <w:tcW w:w="2271" w:type="dxa"/>
            <w:vAlign w:val="center"/>
          </w:tcPr>
          <w:p>
            <w:pPr>
              <w:spacing w:before="0" w:after="0" w:line="240" w:lineRule="exact"/>
              <w:jc w:val="righ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43,945,703.86</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34,003,361.70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-43,945,703.86</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-34,003,361.70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-239,053.65</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46,405,392.04</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-49,284,000.46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169,938,139.07</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182,149,064.12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38" w:type="dxa"/>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2430"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216,343,531.11</w:t>
            </w:r>
          </w:p>
        </w:tc>
        <w:tc>
          <w:tcPr>
            <w:tcW w:w="2271" w:type="dxa"/>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132,865,063.66</w:t>
            </w:r>
          </w:p>
        </w:tc>
      </w:tr>
    </w:tbl>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13" w:name="_Toc988902"/>
      <w:r>
        <w:rPr>
          <w:rFonts w:ascii="宋体" w:hAnsi="宋体" w:eastAsia="宋体" w:cs="宋体"/>
          <w:b/>
          <w:bCs/>
          <w:sz w:val="21"/>
          <w:szCs w:val="21"/>
        </w:rPr>
        <w:t>（二）2024年起首次执行新会计准则调整首次执行当年年初财务报表相关项目情况</w:t>
      </w:r>
      <w:bookmarkEnd w:id="13"/>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pageBreakBefore w:val="0"/>
        <w:widowControl w:val="0"/>
        <w:kinsoku/>
        <w:wordWrap/>
        <w:overflowPunct/>
        <w:topLinePunct w:val="0"/>
        <w:autoSpaceDE/>
        <w:autoSpaceDN/>
        <w:bidi w:val="0"/>
        <w:adjustRightInd/>
        <w:snapToGrid/>
        <w:spacing w:before="200" w:after="200" w:line="280" w:lineRule="exact"/>
        <w:jc w:val="left"/>
        <w:textAlignment w:val="auto"/>
        <w:outlineLvl w:val="1"/>
        <w:rPr>
          <w:rFonts w:ascii="宋体" w:hAnsi="宋体" w:eastAsia="宋体" w:cs="宋体"/>
          <w:b/>
          <w:bCs/>
          <w:sz w:val="21"/>
          <w:szCs w:val="21"/>
        </w:rPr>
      </w:pPr>
      <w:bookmarkStart w:id="14" w:name="_Toc988903"/>
      <w:r>
        <w:rPr>
          <w:rFonts w:ascii="宋体" w:hAnsi="宋体" w:eastAsia="宋体" w:cs="宋体"/>
          <w:b/>
          <w:bCs/>
          <w:sz w:val="21"/>
          <w:szCs w:val="21"/>
        </w:rPr>
        <w:t>（三）审计报告</w:t>
      </w:r>
      <w:bookmarkEnd w:id="14"/>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第三季度报告是否经过审计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1"/>
          <w:szCs w:val="21"/>
        </w:rPr>
      </w:pPr>
      <w:r>
        <w:rPr>
          <w:rFonts w:ascii="宋体" w:hAnsi="宋体" w:eastAsia="宋体" w:cs="宋体"/>
          <w:sz w:val="21"/>
          <w:szCs w:val="21"/>
        </w:rPr>
        <w:t>公司第三季度报告未经审计。</w:t>
      </w:r>
    </w:p>
    <w:p>
      <w:pPr>
        <w:spacing w:before="100" w:after="100" w:line="240" w:lineRule="exact"/>
        <w:jc w:val="right"/>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before="100" w:after="100" w:line="400" w:lineRule="exact"/>
        <w:jc w:val="right"/>
        <w:textAlignment w:val="auto"/>
        <w:rPr>
          <w:rFonts w:ascii="宋体" w:hAnsi="宋体" w:eastAsia="宋体" w:cs="宋体"/>
          <w:sz w:val="21"/>
          <w:szCs w:val="21"/>
        </w:rPr>
      </w:pPr>
      <w:r>
        <w:rPr>
          <w:rFonts w:ascii="宋体" w:hAnsi="宋体" w:eastAsia="宋体" w:cs="宋体"/>
          <w:sz w:val="21"/>
          <w:szCs w:val="21"/>
        </w:rPr>
        <w:t>青岛食品股份有限公司</w:t>
      </w:r>
    </w:p>
    <w:p>
      <w:pPr>
        <w:keepNext w:val="0"/>
        <w:keepLines w:val="0"/>
        <w:pageBreakBefore w:val="0"/>
        <w:widowControl w:val="0"/>
        <w:kinsoku/>
        <w:wordWrap/>
        <w:overflowPunct/>
        <w:topLinePunct w:val="0"/>
        <w:autoSpaceDE/>
        <w:autoSpaceDN/>
        <w:bidi w:val="0"/>
        <w:adjustRightInd/>
        <w:snapToGrid/>
        <w:spacing w:before="100" w:after="100" w:line="400" w:lineRule="exact"/>
        <w:jc w:val="right"/>
        <w:textAlignment w:val="auto"/>
        <w:rPr>
          <w:rFonts w:ascii="宋体" w:hAnsi="宋体" w:eastAsia="宋体" w:cs="宋体"/>
          <w:sz w:val="21"/>
          <w:szCs w:val="21"/>
        </w:rPr>
      </w:pPr>
      <w:r>
        <w:rPr>
          <w:rFonts w:ascii="宋体" w:hAnsi="宋体" w:eastAsia="宋体" w:cs="宋体"/>
          <w:sz w:val="21"/>
          <w:szCs w:val="21"/>
        </w:rPr>
        <w:t>董事会</w:t>
      </w:r>
    </w:p>
    <w:p>
      <w:pPr>
        <w:keepNext w:val="0"/>
        <w:keepLines w:val="0"/>
        <w:pageBreakBefore w:val="0"/>
        <w:widowControl w:val="0"/>
        <w:kinsoku/>
        <w:wordWrap/>
        <w:overflowPunct/>
        <w:topLinePunct w:val="0"/>
        <w:autoSpaceDE/>
        <w:autoSpaceDN/>
        <w:bidi w:val="0"/>
        <w:adjustRightInd/>
        <w:snapToGrid/>
        <w:spacing w:before="100" w:after="100" w:line="400" w:lineRule="exact"/>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2024年10月29日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drawing>
        <wp:anchor distT="0" distB="0" distL="114300" distR="114300" simplePos="0" relativeHeight="251659264" behindDoc="0" locked="0" layoutInCell="1" allowOverlap="1">
          <wp:simplePos x="0" y="0"/>
          <wp:positionH relativeFrom="column">
            <wp:posOffset>-92075</wp:posOffset>
          </wp:positionH>
          <wp:positionV relativeFrom="paragraph">
            <wp:posOffset>-628650</wp:posOffset>
          </wp:positionV>
          <wp:extent cx="1029970" cy="1029970"/>
          <wp:effectExtent l="0" t="0" r="0" b="0"/>
          <wp:wrapNone/>
          <wp:docPr id="1" name="图片 1"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1160657"/>
                  <pic:cNvPicPr>
                    <a:picLocks noChangeAspect="1"/>
                  </pic:cNvPicPr>
                </pic:nvPicPr>
                <pic:blipFill>
                  <a:blip r:embed="rId1"/>
                  <a:stretch>
                    <a:fillRect/>
                  </a:stretch>
                </pic:blipFill>
                <pic:spPr>
                  <a:xfrm>
                    <a:off x="0" y="0"/>
                    <a:ext cx="1029970" cy="1029970"/>
                  </a:xfrm>
                  <a:prstGeom prst="rect">
                    <a:avLst/>
                  </a:prstGeom>
                </pic:spPr>
              </pic:pic>
            </a:graphicData>
          </a:graphic>
        </wp:anchor>
      </w:drawing>
    </w:r>
    <w:r>
      <w:rPr>
        <w:rFonts w:ascii="宋体" w:eastAsia="宋体"/>
        <w:sz w:val="18"/>
        <w:szCs w:val="18"/>
      </w:rPr>
      <w:t>青岛食品股份有限公司2024年第三季度报告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MzE2MWM4NGI3Zjc4YmM2NmMwMDA5N2UzMzkwMGYwZGQifQ=="/>
  </w:docVars>
  <w:rsids>
    <w:rsidRoot w:val="00000000"/>
    <w:rsid w:val="07EF5AE5"/>
    <w:rsid w:val="090A14CB"/>
    <w:rsid w:val="0E8F7729"/>
    <w:rsid w:val="1733461B"/>
    <w:rsid w:val="493136FB"/>
    <w:rsid w:val="622B7232"/>
    <w:rsid w:val="6EE62D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2024-10-22T00:13:00Z</dcterms:created>
  <dc:creator>Administrator.USER-20191202VK</dc:creator>
  <cp:lastModifiedBy>李春宏</cp:lastModifiedBy>
  <cp:lastPrinted>2024-10-23T00:11:00Z</cp:lastPrinted>
  <dcterms:modified xsi:type="dcterms:W3CDTF">2024-10-28T06:54:00Z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22839272C677488FA35E1E411D4EBD6E_12</vt:lpwstr>
  </property>
</Properties>
</file>