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EDA37">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证券代码：001219                         证券简称：青岛食品                         公告编号：</w:t>
      </w:r>
      <w:r>
        <w:rPr>
          <w:rFonts w:hint="eastAsia" w:ascii="宋体" w:hAnsi="宋体" w:eastAsia="宋体" w:cs="宋体"/>
          <w:sz w:val="18"/>
          <w:szCs w:val="18"/>
          <w:lang w:val="en-US" w:eastAsia="zh-CN"/>
        </w:rPr>
        <w:t>2025-006</w:t>
      </w:r>
    </w:p>
    <w:p w14:paraId="501B5938">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青岛食品股份有限公司2024年年度报告摘要</w:t>
      </w:r>
    </w:p>
    <w:p w14:paraId="430A9D27">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2D81A351">
      <w:pPr>
        <w:spacing w:before="100" w:after="100" w:line="240" w:lineRule="exact"/>
        <w:jc w:val="left"/>
        <w:rPr>
          <w:rFonts w:ascii="宋体" w:hAnsi="宋体" w:eastAsia="宋体" w:cs="宋体"/>
          <w:sz w:val="18"/>
          <w:szCs w:val="18"/>
        </w:rPr>
      </w:pPr>
      <w:r>
        <w:rPr>
          <w:rFonts w:ascii="宋体" w:hAnsi="宋体" w:eastAsia="宋体" w:cs="宋体"/>
          <w:sz w:val="18"/>
          <w:szCs w:val="18"/>
        </w:rPr>
        <w:t>本年度报告摘要来自年度报告全文，为全面了解本公司的经营成果、财务状况及未来发展规划，投资者应当到证监会指定媒体仔细阅读年度报告全文。</w:t>
      </w:r>
    </w:p>
    <w:p w14:paraId="5BC28CA1">
      <w:pPr>
        <w:spacing w:before="100" w:after="100" w:line="240" w:lineRule="exact"/>
        <w:jc w:val="left"/>
        <w:rPr>
          <w:rFonts w:ascii="宋体" w:hAnsi="宋体" w:eastAsia="宋体" w:cs="宋体"/>
          <w:sz w:val="18"/>
          <w:szCs w:val="18"/>
        </w:rPr>
      </w:pPr>
      <w:r>
        <w:rPr>
          <w:rFonts w:ascii="宋体" w:hAnsi="宋体" w:eastAsia="宋体" w:cs="宋体"/>
          <w:sz w:val="18"/>
          <w:szCs w:val="18"/>
        </w:rPr>
        <w:t>所有董事均已出席了审议本报告的董事会会议。</w:t>
      </w:r>
    </w:p>
    <w:p w14:paraId="0421BA0B">
      <w:pPr>
        <w:spacing w:before="100" w:after="100" w:line="240" w:lineRule="exact"/>
        <w:jc w:val="left"/>
        <w:rPr>
          <w:rFonts w:ascii="宋体" w:hAnsi="宋体" w:eastAsia="宋体" w:cs="宋体"/>
          <w:sz w:val="18"/>
          <w:szCs w:val="18"/>
        </w:rPr>
      </w:pPr>
      <w:r>
        <w:rPr>
          <w:rFonts w:ascii="宋体" w:hAnsi="宋体" w:eastAsia="宋体" w:cs="宋体"/>
          <w:sz w:val="18"/>
          <w:szCs w:val="18"/>
        </w:rPr>
        <w:t>非标准审计意见提示</w:t>
      </w:r>
    </w:p>
    <w:p w14:paraId="476C9D3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F616CD0">
      <w:pPr>
        <w:spacing w:before="100" w:after="100" w:line="240" w:lineRule="exact"/>
        <w:jc w:val="left"/>
        <w:rPr>
          <w:rFonts w:ascii="宋体" w:hAnsi="宋体" w:eastAsia="宋体" w:cs="宋体"/>
          <w:sz w:val="18"/>
          <w:szCs w:val="18"/>
        </w:rPr>
      </w:pPr>
      <w:r>
        <w:rPr>
          <w:rFonts w:ascii="宋体" w:hAnsi="宋体" w:eastAsia="宋体" w:cs="宋体"/>
          <w:sz w:val="18"/>
          <w:szCs w:val="18"/>
        </w:rPr>
        <w:t>董事会审议的报告期利润分配预案或公积金转增股本预案</w:t>
      </w:r>
    </w:p>
    <w:p w14:paraId="3EC8BB61">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AF8FB5D">
      <w:pPr>
        <w:spacing w:before="100" w:after="100" w:line="240" w:lineRule="exact"/>
        <w:jc w:val="left"/>
        <w:rPr>
          <w:rFonts w:ascii="宋体" w:hAnsi="宋体" w:eastAsia="宋体" w:cs="宋体"/>
          <w:sz w:val="18"/>
          <w:szCs w:val="18"/>
        </w:rPr>
      </w:pPr>
      <w:r>
        <w:rPr>
          <w:rFonts w:ascii="宋体" w:hAnsi="宋体" w:eastAsia="宋体" w:cs="宋体"/>
          <w:sz w:val="18"/>
          <w:szCs w:val="18"/>
        </w:rPr>
        <w:t>是否以公积金转增股本</w:t>
      </w:r>
    </w:p>
    <w:p w14:paraId="4D2192E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3D3FD6C6">
      <w:pPr>
        <w:spacing w:before="40" w:after="40" w:line="240" w:lineRule="exact"/>
        <w:jc w:val="left"/>
        <w:rPr>
          <w:rFonts w:ascii="宋体" w:hAnsi="宋体" w:eastAsia="宋体" w:cs="宋体"/>
          <w:sz w:val="18"/>
          <w:szCs w:val="18"/>
        </w:rPr>
      </w:pPr>
      <w:r>
        <w:rPr>
          <w:rFonts w:ascii="宋体" w:hAnsi="宋体" w:eastAsia="宋体" w:cs="宋体"/>
          <w:sz w:val="18"/>
          <w:szCs w:val="18"/>
        </w:rPr>
        <w:t>公司经本次董事会审议通过的利润分配预案为：以194,983,750股为基数，向全体股东每10股派发现金红利3.00元（含税），送红股0股（含税），不以公积金转增股本。</w:t>
      </w:r>
    </w:p>
    <w:p w14:paraId="1951FFF1">
      <w:pPr>
        <w:spacing w:before="100" w:after="100" w:line="240" w:lineRule="exact"/>
        <w:jc w:val="left"/>
        <w:rPr>
          <w:rFonts w:ascii="宋体" w:hAnsi="宋体" w:eastAsia="宋体" w:cs="宋体"/>
          <w:sz w:val="18"/>
          <w:szCs w:val="18"/>
        </w:rPr>
      </w:pPr>
      <w:r>
        <w:rPr>
          <w:rFonts w:ascii="宋体" w:hAnsi="宋体" w:eastAsia="宋体" w:cs="宋体"/>
          <w:sz w:val="18"/>
          <w:szCs w:val="18"/>
        </w:rPr>
        <w:t>董事会决议通过的本报告期优先股利润分配预案</w:t>
      </w:r>
    </w:p>
    <w:p w14:paraId="05506DAC">
      <w:pPr>
        <w:spacing w:before="100" w:after="100" w:line="240" w:lineRule="exact"/>
        <w:jc w:val="left"/>
        <w:rPr>
          <w:rFonts w:ascii="宋体" w:hAnsi="宋体" w:eastAsia="宋体" w:cs="宋体"/>
          <w:sz w:val="18"/>
          <w:szCs w:val="18"/>
        </w:rPr>
      </w:pPr>
      <w:r>
        <w:rPr>
          <w:rFonts w:ascii="宋体" w:hAnsi="宋体" w:eastAsia="宋体" w:cs="宋体"/>
          <w:sz w:val="18"/>
          <w:szCs w:val="18"/>
        </w:rPr>
        <w:t>□适用 □不适用</w:t>
      </w:r>
    </w:p>
    <w:p w14:paraId="3310BB97">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7816A2F1">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00"/>
        <w:gridCol w:w="1480"/>
        <w:gridCol w:w="740"/>
        <w:gridCol w:w="740"/>
        <w:gridCol w:w="1480"/>
      </w:tblGrid>
      <w:tr w14:paraId="751F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29E172C4">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1480" w:type="dxa"/>
            <w:tcBorders>
              <w:top w:val="single" w:color="auto" w:sz="2" w:space="0"/>
              <w:left w:val="single" w:color="auto" w:sz="2" w:space="0"/>
              <w:bottom w:val="single" w:color="auto" w:sz="2" w:space="0"/>
              <w:right w:val="single" w:color="auto" w:sz="2" w:space="0"/>
            </w:tcBorders>
            <w:vAlign w:val="center"/>
          </w:tcPr>
          <w:p w14:paraId="5B35EFBD">
            <w:pPr>
              <w:spacing w:before="0" w:after="0" w:line="240" w:lineRule="exact"/>
              <w:jc w:val="left"/>
              <w:rPr>
                <w:rFonts w:ascii="宋体" w:hAnsi="宋体" w:eastAsia="宋体" w:cs="宋体"/>
                <w:sz w:val="18"/>
                <w:szCs w:val="18"/>
              </w:rPr>
            </w:pPr>
            <w:r>
              <w:rPr>
                <w:rFonts w:ascii="宋体" w:hAnsi="宋体" w:eastAsia="宋体" w:cs="宋体"/>
                <w:sz w:val="18"/>
                <w:szCs w:val="18"/>
              </w:rPr>
              <w:t>青岛食品</w:t>
            </w:r>
          </w:p>
        </w:tc>
        <w:tc>
          <w:tcPr>
            <w:tcW w:w="148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C430901">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1480" w:type="dxa"/>
            <w:tcBorders>
              <w:top w:val="single" w:color="auto" w:sz="2" w:space="0"/>
              <w:left w:val="single" w:color="auto" w:sz="2" w:space="0"/>
              <w:bottom w:val="single" w:color="auto" w:sz="2" w:space="0"/>
              <w:right w:val="single" w:color="auto" w:sz="2" w:space="0"/>
            </w:tcBorders>
            <w:vAlign w:val="center"/>
          </w:tcPr>
          <w:p w14:paraId="468B0E8D">
            <w:pPr>
              <w:spacing w:before="0" w:after="0" w:line="240" w:lineRule="exact"/>
              <w:jc w:val="left"/>
              <w:rPr>
                <w:rFonts w:ascii="宋体" w:hAnsi="宋体" w:eastAsia="宋体" w:cs="宋体"/>
                <w:sz w:val="18"/>
                <w:szCs w:val="18"/>
              </w:rPr>
            </w:pPr>
            <w:r>
              <w:rPr>
                <w:rFonts w:ascii="宋体" w:hAnsi="宋体" w:eastAsia="宋体" w:cs="宋体"/>
                <w:sz w:val="18"/>
                <w:szCs w:val="18"/>
              </w:rPr>
              <w:t>001219</w:t>
            </w:r>
          </w:p>
        </w:tc>
      </w:tr>
      <w:tr w14:paraId="4FBC6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1B848EF">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4439" w:type="dxa"/>
            <w:gridSpan w:val="4"/>
            <w:tcBorders>
              <w:top w:val="single" w:color="auto" w:sz="2" w:space="0"/>
              <w:left w:val="single" w:color="auto" w:sz="2" w:space="0"/>
              <w:bottom w:val="single" w:color="auto" w:sz="2" w:space="0"/>
              <w:right w:val="single" w:color="auto" w:sz="2" w:space="0"/>
            </w:tcBorders>
            <w:vAlign w:val="center"/>
          </w:tcPr>
          <w:p w14:paraId="1C29A288">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5AD3C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5D02C07A">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9DB42E8">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2202692">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19A9E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59E514F3">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59D25C93">
            <w:pPr>
              <w:spacing w:before="0" w:after="0" w:line="240" w:lineRule="exact"/>
              <w:jc w:val="left"/>
              <w:rPr>
                <w:rFonts w:ascii="宋体" w:hAnsi="宋体" w:eastAsia="宋体" w:cs="宋体"/>
                <w:sz w:val="18"/>
                <w:szCs w:val="18"/>
              </w:rPr>
            </w:pPr>
            <w:r>
              <w:rPr>
                <w:rFonts w:ascii="宋体" w:hAnsi="宋体" w:eastAsia="宋体" w:cs="宋体"/>
                <w:sz w:val="18"/>
                <w:szCs w:val="18"/>
              </w:rPr>
              <w:t>张松涛</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795F9D3">
            <w:pPr>
              <w:spacing w:before="0" w:after="0" w:line="240" w:lineRule="exact"/>
              <w:jc w:val="left"/>
              <w:rPr>
                <w:rFonts w:ascii="宋体" w:hAnsi="宋体" w:eastAsia="宋体" w:cs="宋体"/>
                <w:sz w:val="18"/>
                <w:szCs w:val="18"/>
              </w:rPr>
            </w:pPr>
            <w:r>
              <w:rPr>
                <w:rFonts w:ascii="宋体" w:hAnsi="宋体" w:eastAsia="宋体" w:cs="宋体"/>
                <w:sz w:val="18"/>
                <w:szCs w:val="18"/>
              </w:rPr>
              <w:t>李春宏</w:t>
            </w:r>
          </w:p>
        </w:tc>
      </w:tr>
      <w:tr w14:paraId="04CE5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4E44DD16">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497F411D">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473E122E">
            <w:pPr>
              <w:spacing w:before="0" w:after="0" w:line="240" w:lineRule="exact"/>
              <w:jc w:val="left"/>
              <w:rPr>
                <w:rFonts w:ascii="宋体" w:hAnsi="宋体" w:eastAsia="宋体" w:cs="宋体"/>
                <w:sz w:val="18"/>
                <w:szCs w:val="18"/>
              </w:rPr>
            </w:pPr>
            <w:r>
              <w:rPr>
                <w:rFonts w:ascii="宋体" w:hAnsi="宋体" w:eastAsia="宋体" w:cs="宋体"/>
                <w:sz w:val="18"/>
                <w:szCs w:val="18"/>
              </w:rPr>
              <w:t>青岛市李沧区四流中支路2号</w:t>
            </w:r>
          </w:p>
        </w:tc>
      </w:tr>
      <w:tr w14:paraId="07A08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55719FD">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5A1F17B8">
            <w:pPr>
              <w:spacing w:before="0" w:after="0" w:line="240" w:lineRule="exact"/>
              <w:jc w:val="left"/>
              <w:rPr>
                <w:rFonts w:ascii="宋体" w:hAnsi="宋体" w:eastAsia="宋体" w:cs="宋体"/>
                <w:sz w:val="18"/>
                <w:szCs w:val="18"/>
              </w:rPr>
            </w:pPr>
            <w:r>
              <w:rPr>
                <w:rFonts w:ascii="宋体" w:hAnsi="宋体" w:eastAsia="宋体" w:cs="宋体"/>
                <w:sz w:val="18"/>
                <w:szCs w:val="18"/>
              </w:rPr>
              <w:t>0532-84669955</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335BE519">
            <w:pPr>
              <w:spacing w:before="0" w:after="0" w:line="240" w:lineRule="exact"/>
              <w:jc w:val="left"/>
              <w:rPr>
                <w:rFonts w:ascii="宋体" w:hAnsi="宋体" w:eastAsia="宋体" w:cs="宋体"/>
                <w:sz w:val="18"/>
                <w:szCs w:val="18"/>
              </w:rPr>
            </w:pPr>
            <w:r>
              <w:rPr>
                <w:rFonts w:ascii="宋体" w:hAnsi="宋体" w:eastAsia="宋体" w:cs="宋体"/>
                <w:sz w:val="18"/>
                <w:szCs w:val="18"/>
              </w:rPr>
              <w:t>0532-84669955</w:t>
            </w:r>
          </w:p>
        </w:tc>
      </w:tr>
      <w:tr w14:paraId="4D343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50AA368A">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2DD2C0A7">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4CC6FE84">
            <w:pPr>
              <w:spacing w:before="0" w:after="0" w:line="240" w:lineRule="exact"/>
              <w:jc w:val="left"/>
              <w:rPr>
                <w:rFonts w:ascii="宋体" w:hAnsi="宋体" w:eastAsia="宋体" w:cs="宋体"/>
                <w:sz w:val="18"/>
                <w:szCs w:val="18"/>
              </w:rPr>
            </w:pPr>
            <w:r>
              <w:rPr>
                <w:rFonts w:ascii="宋体" w:hAnsi="宋体" w:eastAsia="宋体" w:cs="宋体"/>
                <w:sz w:val="18"/>
                <w:szCs w:val="18"/>
              </w:rPr>
              <w:t>0532-84633589</w:t>
            </w:r>
          </w:p>
        </w:tc>
      </w:tr>
      <w:tr w14:paraId="209F2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0C491BEE">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663D282F">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584DC180">
            <w:pPr>
              <w:spacing w:before="0" w:after="0" w:line="240" w:lineRule="exact"/>
              <w:jc w:val="left"/>
              <w:rPr>
                <w:rFonts w:ascii="宋体" w:hAnsi="宋体" w:eastAsia="宋体" w:cs="宋体"/>
                <w:sz w:val="18"/>
                <w:szCs w:val="18"/>
              </w:rPr>
            </w:pPr>
            <w:r>
              <w:rPr>
                <w:rFonts w:ascii="宋体" w:hAnsi="宋体" w:eastAsia="宋体" w:cs="宋体"/>
                <w:sz w:val="18"/>
                <w:szCs w:val="18"/>
              </w:rPr>
              <w:t>ir@qdfood.com</w:t>
            </w:r>
          </w:p>
        </w:tc>
      </w:tr>
    </w:tbl>
    <w:p w14:paraId="643483B1">
      <w:pPr>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2、报告期主要业务或产品简介</w:t>
      </w:r>
      <w:bookmarkEnd w:id="3"/>
    </w:p>
    <w:p w14:paraId="1723D583">
      <w:pPr>
        <w:pStyle w:val="2"/>
        <w:keepNext w:val="0"/>
        <w:keepLines w:val="0"/>
        <w:widowControl/>
        <w:suppressLineNumbers w:val="0"/>
        <w:ind w:firstLine="360" w:firstLineChars="200"/>
      </w:pPr>
      <w:r>
        <w:rPr>
          <w:rFonts w:hint="eastAsia" w:ascii="宋体" w:hAnsi="宋体" w:eastAsia="宋体" w:cs="宋体"/>
          <w:sz w:val="18"/>
          <w:szCs w:val="18"/>
        </w:rPr>
        <w:t>公司主要从事饼干与花生酱等休闲食品的研发、生产及销售。公司主要产品包括“青食”品牌钙奶饼干、“青食”品牌休闲饼干和“海友”品牌花生酱，同时亦通过OEM模式代工生产少量花生酱产品。公司自设立以来专注于从事饼干与花生酱等休闲食品的研发、生产及销售，是国内区域性饼干龙头企业，产品在山东地区具有较高的品牌知名度和美誉度。公司是中国焙烤食品糖制品工业协会认定的“中国焙烤食品糖制品行业（饼干）十强企业”，也是中国国家标准化管理委员会与中华人民共和国国家质量监督检验检疫总局联合发布的国家标准——《饼干》（GB/T 20980-2007）的起草单位之一，在国内饼干行业中具有重要地位。</w:t>
      </w:r>
    </w:p>
    <w:p w14:paraId="4527EA9D">
      <w:pPr>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3、主要会计数据和财务指标</w:t>
      </w:r>
      <w:bookmarkEnd w:id="4"/>
    </w:p>
    <w:p w14:paraId="0E643166">
      <w:pPr>
        <w:keepNext/>
        <w:keepLines/>
        <w:spacing w:before="300" w:after="300" w:line="280" w:lineRule="exact"/>
        <w:jc w:val="left"/>
        <w:outlineLvl w:val="3"/>
        <w:rPr>
          <w:rFonts w:ascii="宋体" w:hAnsi="宋体" w:eastAsia="宋体" w:cs="宋体"/>
          <w:b/>
          <w:bCs/>
          <w:sz w:val="18"/>
          <w:szCs w:val="18"/>
        </w:rPr>
      </w:pPr>
      <w:bookmarkStart w:id="5" w:name="_Toc988894"/>
      <w:r>
        <w:rPr>
          <w:rFonts w:ascii="宋体" w:hAnsi="宋体" w:eastAsia="宋体" w:cs="宋体"/>
          <w:b/>
          <w:bCs/>
          <w:sz w:val="18"/>
          <w:szCs w:val="18"/>
        </w:rPr>
        <w:t>（1）近三年主要会计数据和财务指标</w:t>
      </w:r>
      <w:bookmarkEnd w:id="5"/>
    </w:p>
    <w:p w14:paraId="6C524828">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689A8FE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1ADC25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00"/>
        <w:gridCol w:w="1656"/>
        <w:gridCol w:w="1928"/>
        <w:gridCol w:w="1928"/>
        <w:gridCol w:w="1928"/>
      </w:tblGrid>
      <w:tr w14:paraId="0B604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6B007BC9"/>
        </w:tc>
        <w:tc>
          <w:tcPr>
            <w:tcW w:w="1656" w:type="dxa"/>
            <w:tcBorders>
              <w:top w:val="single" w:color="auto" w:sz="2" w:space="0"/>
              <w:left w:val="single" w:color="auto" w:sz="2" w:space="0"/>
              <w:bottom w:val="single" w:color="auto" w:sz="2" w:space="0"/>
              <w:right w:val="single" w:color="auto" w:sz="2" w:space="0"/>
            </w:tcBorders>
            <w:shd w:val="clear" w:color="auto" w:fill="D3D3D3"/>
            <w:vAlign w:val="center"/>
          </w:tcPr>
          <w:p w14:paraId="7F97FE5B">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94A3DE5">
            <w:pPr>
              <w:spacing w:before="40" w:after="40" w:line="240" w:lineRule="exact"/>
              <w:jc w:val="center"/>
              <w:rPr>
                <w:rFonts w:ascii="宋体" w:hAnsi="宋体" w:eastAsia="宋体" w:cs="宋体"/>
                <w:sz w:val="18"/>
                <w:szCs w:val="18"/>
              </w:rPr>
            </w:pPr>
            <w:r>
              <w:rPr>
                <w:rFonts w:ascii="宋体" w:hAnsi="宋体" w:eastAsia="宋体" w:cs="宋体"/>
                <w:sz w:val="18"/>
                <w:szCs w:val="18"/>
              </w:rPr>
              <w:t>2023年末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3DA401B">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368B74">
            <w:pPr>
              <w:spacing w:before="40" w:after="40" w:line="240" w:lineRule="exact"/>
              <w:jc w:val="center"/>
              <w:rPr>
                <w:rFonts w:ascii="宋体" w:hAnsi="宋体" w:eastAsia="宋体" w:cs="宋体"/>
                <w:sz w:val="18"/>
                <w:szCs w:val="18"/>
              </w:rPr>
            </w:pPr>
            <w:r>
              <w:rPr>
                <w:rFonts w:ascii="宋体" w:hAnsi="宋体" w:eastAsia="宋体" w:cs="宋体"/>
                <w:sz w:val="18"/>
                <w:szCs w:val="18"/>
              </w:rPr>
              <w:t>2022年末</w:t>
            </w:r>
          </w:p>
        </w:tc>
      </w:tr>
      <w:tr w14:paraId="0E4C1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05EF9A41">
            <w:pPr>
              <w:spacing w:before="40" w:after="40" w:line="240" w:lineRule="exact"/>
              <w:jc w:val="left"/>
              <w:rPr>
                <w:rFonts w:ascii="宋体" w:hAnsi="宋体" w:eastAsia="宋体" w:cs="宋体"/>
                <w:sz w:val="18"/>
                <w:szCs w:val="18"/>
              </w:rPr>
            </w:pPr>
            <w:r>
              <w:rPr>
                <w:rFonts w:ascii="宋体" w:hAnsi="宋体" w:eastAsia="宋体" w:cs="宋体"/>
                <w:sz w:val="18"/>
                <w:szCs w:val="18"/>
              </w:rPr>
              <w:t>总资产</w:t>
            </w:r>
          </w:p>
        </w:tc>
        <w:tc>
          <w:tcPr>
            <w:tcW w:w="1656" w:type="dxa"/>
            <w:tcBorders>
              <w:top w:val="single" w:color="auto" w:sz="2" w:space="0"/>
              <w:left w:val="single" w:color="auto" w:sz="2" w:space="0"/>
              <w:bottom w:val="single" w:color="auto" w:sz="2" w:space="0"/>
              <w:right w:val="single" w:color="auto" w:sz="2" w:space="0"/>
            </w:tcBorders>
            <w:vAlign w:val="center"/>
          </w:tcPr>
          <w:p w14:paraId="29670F18">
            <w:pPr>
              <w:spacing w:before="0" w:after="0" w:line="240" w:lineRule="exact"/>
              <w:jc w:val="right"/>
              <w:rPr>
                <w:rFonts w:ascii="宋体" w:hAnsi="宋体" w:eastAsia="宋体" w:cs="宋体"/>
                <w:sz w:val="18"/>
                <w:szCs w:val="18"/>
              </w:rPr>
            </w:pPr>
            <w:r>
              <w:rPr>
                <w:rFonts w:ascii="宋体" w:hAnsi="宋体" w:eastAsia="宋体" w:cs="宋体"/>
                <w:sz w:val="18"/>
                <w:szCs w:val="18"/>
              </w:rPr>
              <w:t>1,153,157,818.30</w:t>
            </w:r>
          </w:p>
        </w:tc>
        <w:tc>
          <w:tcPr>
            <w:tcW w:w="1928" w:type="dxa"/>
            <w:tcBorders>
              <w:top w:val="single" w:color="auto" w:sz="2" w:space="0"/>
              <w:left w:val="single" w:color="auto" w:sz="2" w:space="0"/>
              <w:bottom w:val="single" w:color="auto" w:sz="2" w:space="0"/>
              <w:right w:val="single" w:color="auto" w:sz="2" w:space="0"/>
            </w:tcBorders>
            <w:vAlign w:val="center"/>
          </w:tcPr>
          <w:p w14:paraId="6966678A">
            <w:pPr>
              <w:spacing w:before="0" w:after="0" w:line="240" w:lineRule="exact"/>
              <w:jc w:val="right"/>
              <w:rPr>
                <w:rFonts w:ascii="宋体" w:hAnsi="宋体" w:eastAsia="宋体" w:cs="宋体"/>
                <w:sz w:val="18"/>
                <w:szCs w:val="18"/>
              </w:rPr>
            </w:pPr>
            <w:r>
              <w:rPr>
                <w:rFonts w:ascii="宋体" w:hAnsi="宋体" w:eastAsia="宋体" w:cs="宋体"/>
                <w:sz w:val="18"/>
                <w:szCs w:val="18"/>
              </w:rPr>
              <w:t>1,074,440,453.60</w:t>
            </w:r>
          </w:p>
        </w:tc>
        <w:tc>
          <w:tcPr>
            <w:tcW w:w="1928" w:type="dxa"/>
            <w:tcBorders>
              <w:top w:val="single" w:color="auto" w:sz="2" w:space="0"/>
              <w:left w:val="single" w:color="auto" w:sz="2" w:space="0"/>
              <w:bottom w:val="single" w:color="auto" w:sz="2" w:space="0"/>
              <w:right w:val="single" w:color="auto" w:sz="2" w:space="0"/>
            </w:tcBorders>
            <w:vAlign w:val="center"/>
          </w:tcPr>
          <w:p w14:paraId="422C3866">
            <w:pPr>
              <w:spacing w:before="0" w:after="0" w:line="240" w:lineRule="exact"/>
              <w:jc w:val="right"/>
              <w:rPr>
                <w:rFonts w:ascii="宋体" w:hAnsi="宋体" w:eastAsia="宋体" w:cs="宋体"/>
                <w:sz w:val="18"/>
                <w:szCs w:val="18"/>
              </w:rPr>
            </w:pPr>
            <w:r>
              <w:rPr>
                <w:rFonts w:ascii="宋体" w:hAnsi="宋体" w:eastAsia="宋体" w:cs="宋体"/>
                <w:sz w:val="18"/>
                <w:szCs w:val="18"/>
              </w:rPr>
              <w:t>7.33%</w:t>
            </w:r>
          </w:p>
        </w:tc>
        <w:tc>
          <w:tcPr>
            <w:tcW w:w="1928" w:type="dxa"/>
            <w:tcBorders>
              <w:top w:val="single" w:color="auto" w:sz="2" w:space="0"/>
              <w:left w:val="single" w:color="auto" w:sz="2" w:space="0"/>
              <w:bottom w:val="single" w:color="auto" w:sz="2" w:space="0"/>
              <w:right w:val="single" w:color="auto" w:sz="2" w:space="0"/>
            </w:tcBorders>
            <w:vAlign w:val="center"/>
          </w:tcPr>
          <w:p w14:paraId="3EFC5D31">
            <w:pPr>
              <w:spacing w:before="0" w:after="0" w:line="240" w:lineRule="exact"/>
              <w:jc w:val="right"/>
              <w:rPr>
                <w:rFonts w:ascii="宋体" w:hAnsi="宋体" w:eastAsia="宋体" w:cs="宋体"/>
                <w:sz w:val="18"/>
                <w:szCs w:val="18"/>
              </w:rPr>
            </w:pPr>
            <w:r>
              <w:rPr>
                <w:rFonts w:ascii="宋体" w:hAnsi="宋体" w:eastAsia="宋体" w:cs="宋体"/>
                <w:sz w:val="18"/>
                <w:szCs w:val="18"/>
              </w:rPr>
              <w:t>1,018,178,710.81</w:t>
            </w:r>
          </w:p>
        </w:tc>
      </w:tr>
      <w:tr w14:paraId="53A0E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62CDF6B6">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w:t>
            </w:r>
          </w:p>
        </w:tc>
        <w:tc>
          <w:tcPr>
            <w:tcW w:w="1656" w:type="dxa"/>
            <w:tcBorders>
              <w:top w:val="single" w:color="auto" w:sz="2" w:space="0"/>
              <w:left w:val="single" w:color="auto" w:sz="2" w:space="0"/>
              <w:bottom w:val="single" w:color="auto" w:sz="2" w:space="0"/>
              <w:right w:val="single" w:color="auto" w:sz="2" w:space="0"/>
            </w:tcBorders>
            <w:vAlign w:val="center"/>
          </w:tcPr>
          <w:p w14:paraId="7948F4C1">
            <w:pPr>
              <w:spacing w:before="0" w:after="0" w:line="240" w:lineRule="exact"/>
              <w:jc w:val="right"/>
              <w:rPr>
                <w:rFonts w:ascii="宋体" w:hAnsi="宋体" w:eastAsia="宋体" w:cs="宋体"/>
                <w:sz w:val="18"/>
                <w:szCs w:val="18"/>
              </w:rPr>
            </w:pPr>
            <w:r>
              <w:rPr>
                <w:rFonts w:ascii="宋体" w:hAnsi="宋体" w:eastAsia="宋体" w:cs="宋体"/>
                <w:sz w:val="18"/>
                <w:szCs w:val="18"/>
              </w:rPr>
              <w:t>1,027,310,209.84</w:t>
            </w:r>
          </w:p>
        </w:tc>
        <w:tc>
          <w:tcPr>
            <w:tcW w:w="1928" w:type="dxa"/>
            <w:tcBorders>
              <w:top w:val="single" w:color="auto" w:sz="2" w:space="0"/>
              <w:left w:val="single" w:color="auto" w:sz="2" w:space="0"/>
              <w:bottom w:val="single" w:color="auto" w:sz="2" w:space="0"/>
              <w:right w:val="single" w:color="auto" w:sz="2" w:space="0"/>
            </w:tcBorders>
            <w:vAlign w:val="center"/>
          </w:tcPr>
          <w:p w14:paraId="76E909CC">
            <w:pPr>
              <w:spacing w:before="0" w:after="0" w:line="240" w:lineRule="exact"/>
              <w:jc w:val="right"/>
              <w:rPr>
                <w:rFonts w:ascii="宋体" w:hAnsi="宋体" w:eastAsia="宋体" w:cs="宋体"/>
                <w:sz w:val="18"/>
                <w:szCs w:val="18"/>
              </w:rPr>
            </w:pPr>
            <w:r>
              <w:rPr>
                <w:rFonts w:ascii="宋体" w:hAnsi="宋体" w:eastAsia="宋体" w:cs="宋体"/>
                <w:sz w:val="18"/>
                <w:szCs w:val="18"/>
              </w:rPr>
              <w:t>974,634,181.91</w:t>
            </w:r>
          </w:p>
        </w:tc>
        <w:tc>
          <w:tcPr>
            <w:tcW w:w="1928" w:type="dxa"/>
            <w:tcBorders>
              <w:top w:val="single" w:color="auto" w:sz="2" w:space="0"/>
              <w:left w:val="single" w:color="auto" w:sz="2" w:space="0"/>
              <w:bottom w:val="single" w:color="auto" w:sz="2" w:space="0"/>
              <w:right w:val="single" w:color="auto" w:sz="2" w:space="0"/>
            </w:tcBorders>
            <w:vAlign w:val="center"/>
          </w:tcPr>
          <w:p w14:paraId="73AF5438">
            <w:pPr>
              <w:spacing w:before="0" w:after="0" w:line="240" w:lineRule="exact"/>
              <w:jc w:val="right"/>
              <w:rPr>
                <w:rFonts w:ascii="宋体" w:hAnsi="宋体" w:eastAsia="宋体" w:cs="宋体"/>
                <w:sz w:val="18"/>
                <w:szCs w:val="18"/>
              </w:rPr>
            </w:pPr>
            <w:r>
              <w:rPr>
                <w:rFonts w:ascii="宋体" w:hAnsi="宋体" w:eastAsia="宋体" w:cs="宋体"/>
                <w:sz w:val="18"/>
                <w:szCs w:val="18"/>
              </w:rPr>
              <w:t>5.40%</w:t>
            </w:r>
          </w:p>
        </w:tc>
        <w:tc>
          <w:tcPr>
            <w:tcW w:w="1928" w:type="dxa"/>
            <w:tcBorders>
              <w:top w:val="single" w:color="auto" w:sz="2" w:space="0"/>
              <w:left w:val="single" w:color="auto" w:sz="2" w:space="0"/>
              <w:bottom w:val="single" w:color="auto" w:sz="2" w:space="0"/>
              <w:right w:val="single" w:color="auto" w:sz="2" w:space="0"/>
            </w:tcBorders>
            <w:vAlign w:val="center"/>
          </w:tcPr>
          <w:p w14:paraId="6432F587">
            <w:pPr>
              <w:spacing w:before="0" w:after="0" w:line="240" w:lineRule="exact"/>
              <w:jc w:val="right"/>
              <w:rPr>
                <w:rFonts w:ascii="宋体" w:hAnsi="宋体" w:eastAsia="宋体" w:cs="宋体"/>
                <w:sz w:val="18"/>
                <w:szCs w:val="18"/>
              </w:rPr>
            </w:pPr>
            <w:r>
              <w:rPr>
                <w:rFonts w:ascii="宋体" w:hAnsi="宋体" w:eastAsia="宋体" w:cs="宋体"/>
                <w:sz w:val="18"/>
                <w:szCs w:val="18"/>
              </w:rPr>
              <w:t>923,105,193.28</w:t>
            </w:r>
          </w:p>
        </w:tc>
      </w:tr>
      <w:tr w14:paraId="054BB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1A46B932"/>
        </w:tc>
        <w:tc>
          <w:tcPr>
            <w:tcW w:w="1656" w:type="dxa"/>
            <w:tcBorders>
              <w:top w:val="single" w:color="auto" w:sz="2" w:space="0"/>
              <w:left w:val="single" w:color="auto" w:sz="2" w:space="0"/>
              <w:bottom w:val="single" w:color="auto" w:sz="2" w:space="0"/>
              <w:right w:val="single" w:color="auto" w:sz="2" w:space="0"/>
            </w:tcBorders>
            <w:shd w:val="clear" w:color="auto" w:fill="D3D3D3"/>
            <w:vAlign w:val="center"/>
          </w:tcPr>
          <w:p w14:paraId="0925F3AB">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B3FAE0">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0ED651">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F8D0A8">
            <w:pPr>
              <w:spacing w:before="40" w:after="40" w:line="240" w:lineRule="exact"/>
              <w:jc w:val="center"/>
              <w:rPr>
                <w:rFonts w:ascii="宋体" w:hAnsi="宋体" w:eastAsia="宋体" w:cs="宋体"/>
                <w:sz w:val="18"/>
                <w:szCs w:val="18"/>
              </w:rPr>
            </w:pPr>
            <w:r>
              <w:rPr>
                <w:rFonts w:ascii="宋体" w:hAnsi="宋体" w:eastAsia="宋体" w:cs="宋体"/>
                <w:sz w:val="18"/>
                <w:szCs w:val="18"/>
              </w:rPr>
              <w:t>2022年</w:t>
            </w:r>
          </w:p>
        </w:tc>
      </w:tr>
      <w:tr w14:paraId="71364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400535C2">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656" w:type="dxa"/>
            <w:tcBorders>
              <w:top w:val="single" w:color="auto" w:sz="2" w:space="0"/>
              <w:left w:val="single" w:color="auto" w:sz="2" w:space="0"/>
              <w:bottom w:val="single" w:color="auto" w:sz="2" w:space="0"/>
              <w:right w:val="single" w:color="auto" w:sz="2" w:space="0"/>
            </w:tcBorders>
            <w:vAlign w:val="center"/>
          </w:tcPr>
          <w:p w14:paraId="5A7D216E">
            <w:pPr>
              <w:spacing w:before="0" w:after="0" w:line="240" w:lineRule="exact"/>
              <w:jc w:val="right"/>
              <w:rPr>
                <w:rFonts w:ascii="宋体" w:hAnsi="宋体" w:eastAsia="宋体" w:cs="宋体"/>
                <w:sz w:val="18"/>
                <w:szCs w:val="18"/>
              </w:rPr>
            </w:pPr>
            <w:r>
              <w:rPr>
                <w:rFonts w:ascii="宋体" w:hAnsi="宋体" w:eastAsia="宋体" w:cs="宋体"/>
                <w:sz w:val="18"/>
                <w:szCs w:val="18"/>
              </w:rPr>
              <w:t>525,860,467.86</w:t>
            </w:r>
          </w:p>
        </w:tc>
        <w:tc>
          <w:tcPr>
            <w:tcW w:w="1928" w:type="dxa"/>
            <w:tcBorders>
              <w:top w:val="single" w:color="auto" w:sz="2" w:space="0"/>
              <w:left w:val="single" w:color="auto" w:sz="2" w:space="0"/>
              <w:bottom w:val="single" w:color="auto" w:sz="2" w:space="0"/>
              <w:right w:val="single" w:color="auto" w:sz="2" w:space="0"/>
            </w:tcBorders>
            <w:vAlign w:val="center"/>
          </w:tcPr>
          <w:p w14:paraId="5426E3C6">
            <w:pPr>
              <w:spacing w:before="0" w:after="0" w:line="240" w:lineRule="exact"/>
              <w:jc w:val="right"/>
              <w:rPr>
                <w:rFonts w:ascii="宋体" w:hAnsi="宋体" w:eastAsia="宋体" w:cs="宋体"/>
                <w:sz w:val="18"/>
                <w:szCs w:val="18"/>
              </w:rPr>
            </w:pPr>
            <w:r>
              <w:rPr>
                <w:rFonts w:ascii="宋体" w:hAnsi="宋体" w:eastAsia="宋体" w:cs="宋体"/>
                <w:sz w:val="18"/>
                <w:szCs w:val="18"/>
              </w:rPr>
              <w:t>489,309,790.89</w:t>
            </w:r>
          </w:p>
        </w:tc>
        <w:tc>
          <w:tcPr>
            <w:tcW w:w="1928" w:type="dxa"/>
            <w:tcBorders>
              <w:top w:val="single" w:color="auto" w:sz="2" w:space="0"/>
              <w:left w:val="single" w:color="auto" w:sz="2" w:space="0"/>
              <w:bottom w:val="single" w:color="auto" w:sz="2" w:space="0"/>
              <w:right w:val="single" w:color="auto" w:sz="2" w:space="0"/>
            </w:tcBorders>
            <w:vAlign w:val="center"/>
          </w:tcPr>
          <w:p w14:paraId="587A17DF">
            <w:pPr>
              <w:spacing w:before="0" w:after="0" w:line="240" w:lineRule="exact"/>
              <w:jc w:val="right"/>
              <w:rPr>
                <w:rFonts w:ascii="宋体" w:hAnsi="宋体" w:eastAsia="宋体" w:cs="宋体"/>
                <w:sz w:val="18"/>
                <w:szCs w:val="18"/>
              </w:rPr>
            </w:pPr>
            <w:r>
              <w:rPr>
                <w:rFonts w:ascii="宋体" w:hAnsi="宋体" w:eastAsia="宋体" w:cs="宋体"/>
                <w:sz w:val="18"/>
                <w:szCs w:val="18"/>
              </w:rPr>
              <w:t>7.47%</w:t>
            </w:r>
          </w:p>
        </w:tc>
        <w:tc>
          <w:tcPr>
            <w:tcW w:w="1928" w:type="dxa"/>
            <w:tcBorders>
              <w:top w:val="single" w:color="auto" w:sz="2" w:space="0"/>
              <w:left w:val="single" w:color="auto" w:sz="2" w:space="0"/>
              <w:bottom w:val="single" w:color="auto" w:sz="2" w:space="0"/>
              <w:right w:val="single" w:color="auto" w:sz="2" w:space="0"/>
            </w:tcBorders>
            <w:vAlign w:val="center"/>
          </w:tcPr>
          <w:p w14:paraId="69DA73D8">
            <w:pPr>
              <w:spacing w:before="0" w:after="0" w:line="240" w:lineRule="exact"/>
              <w:jc w:val="right"/>
              <w:rPr>
                <w:rFonts w:ascii="宋体" w:hAnsi="宋体" w:eastAsia="宋体" w:cs="宋体"/>
                <w:sz w:val="18"/>
                <w:szCs w:val="18"/>
              </w:rPr>
            </w:pPr>
            <w:r>
              <w:rPr>
                <w:rFonts w:ascii="宋体" w:hAnsi="宋体" w:eastAsia="宋体" w:cs="宋体"/>
                <w:sz w:val="18"/>
                <w:szCs w:val="18"/>
              </w:rPr>
              <w:t>493,808,620.33</w:t>
            </w:r>
          </w:p>
        </w:tc>
      </w:tr>
      <w:tr w14:paraId="2C47C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5DAB83B6">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656" w:type="dxa"/>
            <w:tcBorders>
              <w:top w:val="single" w:color="auto" w:sz="2" w:space="0"/>
              <w:left w:val="single" w:color="auto" w:sz="2" w:space="0"/>
              <w:bottom w:val="single" w:color="auto" w:sz="2" w:space="0"/>
              <w:right w:val="single" w:color="auto" w:sz="2" w:space="0"/>
            </w:tcBorders>
            <w:vAlign w:val="center"/>
          </w:tcPr>
          <w:p w14:paraId="0C2C65A3">
            <w:pPr>
              <w:spacing w:before="0" w:after="0" w:line="240" w:lineRule="exact"/>
              <w:jc w:val="right"/>
              <w:rPr>
                <w:rFonts w:ascii="宋体" w:hAnsi="宋体" w:eastAsia="宋体" w:cs="宋体"/>
                <w:sz w:val="18"/>
                <w:szCs w:val="18"/>
              </w:rPr>
            </w:pPr>
            <w:r>
              <w:rPr>
                <w:rFonts w:ascii="宋体" w:hAnsi="宋体" w:eastAsia="宋体" w:cs="宋体"/>
                <w:sz w:val="18"/>
                <w:szCs w:val="18"/>
              </w:rPr>
              <w:t>97,476,965.08</w:t>
            </w:r>
          </w:p>
        </w:tc>
        <w:tc>
          <w:tcPr>
            <w:tcW w:w="1928" w:type="dxa"/>
            <w:tcBorders>
              <w:top w:val="single" w:color="auto" w:sz="2" w:space="0"/>
              <w:left w:val="single" w:color="auto" w:sz="2" w:space="0"/>
              <w:bottom w:val="single" w:color="auto" w:sz="2" w:space="0"/>
              <w:right w:val="single" w:color="auto" w:sz="2" w:space="0"/>
            </w:tcBorders>
            <w:vAlign w:val="center"/>
          </w:tcPr>
          <w:p w14:paraId="71118F79">
            <w:pPr>
              <w:spacing w:before="0" w:after="0" w:line="240" w:lineRule="exact"/>
              <w:jc w:val="right"/>
              <w:rPr>
                <w:rFonts w:ascii="宋体" w:hAnsi="宋体" w:eastAsia="宋体" w:cs="宋体"/>
                <w:sz w:val="18"/>
                <w:szCs w:val="18"/>
              </w:rPr>
            </w:pPr>
            <w:r>
              <w:rPr>
                <w:rFonts w:ascii="宋体" w:hAnsi="宋体" w:eastAsia="宋体" w:cs="宋体"/>
                <w:sz w:val="18"/>
                <w:szCs w:val="18"/>
              </w:rPr>
              <w:t>86,107,370.63</w:t>
            </w:r>
          </w:p>
        </w:tc>
        <w:tc>
          <w:tcPr>
            <w:tcW w:w="1928" w:type="dxa"/>
            <w:tcBorders>
              <w:top w:val="single" w:color="auto" w:sz="2" w:space="0"/>
              <w:left w:val="single" w:color="auto" w:sz="2" w:space="0"/>
              <w:bottom w:val="single" w:color="auto" w:sz="2" w:space="0"/>
              <w:right w:val="single" w:color="auto" w:sz="2" w:space="0"/>
            </w:tcBorders>
            <w:vAlign w:val="center"/>
          </w:tcPr>
          <w:p w14:paraId="591AFBF6">
            <w:pPr>
              <w:spacing w:before="0" w:after="0" w:line="240" w:lineRule="exact"/>
              <w:jc w:val="right"/>
              <w:rPr>
                <w:rFonts w:ascii="宋体" w:hAnsi="宋体" w:eastAsia="宋体" w:cs="宋体"/>
                <w:sz w:val="18"/>
                <w:szCs w:val="18"/>
              </w:rPr>
            </w:pPr>
            <w:r>
              <w:rPr>
                <w:rFonts w:ascii="宋体" w:hAnsi="宋体" w:eastAsia="宋体" w:cs="宋体"/>
                <w:sz w:val="18"/>
                <w:szCs w:val="18"/>
              </w:rPr>
              <w:t>13.20%</w:t>
            </w:r>
          </w:p>
        </w:tc>
        <w:tc>
          <w:tcPr>
            <w:tcW w:w="1928" w:type="dxa"/>
            <w:tcBorders>
              <w:top w:val="single" w:color="auto" w:sz="2" w:space="0"/>
              <w:left w:val="single" w:color="auto" w:sz="2" w:space="0"/>
              <w:bottom w:val="single" w:color="auto" w:sz="2" w:space="0"/>
              <w:right w:val="single" w:color="auto" w:sz="2" w:space="0"/>
            </w:tcBorders>
            <w:vAlign w:val="center"/>
          </w:tcPr>
          <w:p w14:paraId="3FBD0E5D">
            <w:pPr>
              <w:spacing w:before="0" w:after="0" w:line="240" w:lineRule="exact"/>
              <w:jc w:val="right"/>
              <w:rPr>
                <w:rFonts w:ascii="宋体" w:hAnsi="宋体" w:eastAsia="宋体" w:cs="宋体"/>
                <w:sz w:val="18"/>
                <w:szCs w:val="18"/>
              </w:rPr>
            </w:pPr>
            <w:r>
              <w:rPr>
                <w:rFonts w:ascii="宋体" w:hAnsi="宋体" w:eastAsia="宋体" w:cs="宋体"/>
                <w:sz w:val="18"/>
                <w:szCs w:val="18"/>
              </w:rPr>
              <w:t>91,429,460.78</w:t>
            </w:r>
          </w:p>
        </w:tc>
      </w:tr>
      <w:tr w14:paraId="6690E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143997C0">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656" w:type="dxa"/>
            <w:tcBorders>
              <w:top w:val="single" w:color="auto" w:sz="2" w:space="0"/>
              <w:left w:val="single" w:color="auto" w:sz="2" w:space="0"/>
              <w:bottom w:val="single" w:color="auto" w:sz="2" w:space="0"/>
              <w:right w:val="single" w:color="auto" w:sz="2" w:space="0"/>
            </w:tcBorders>
            <w:vAlign w:val="center"/>
          </w:tcPr>
          <w:p w14:paraId="3E64D989">
            <w:pPr>
              <w:spacing w:before="0" w:after="0" w:line="240" w:lineRule="exact"/>
              <w:jc w:val="right"/>
              <w:rPr>
                <w:rFonts w:ascii="宋体" w:hAnsi="宋体" w:eastAsia="宋体" w:cs="宋体"/>
                <w:sz w:val="18"/>
                <w:szCs w:val="18"/>
              </w:rPr>
            </w:pPr>
            <w:r>
              <w:rPr>
                <w:rFonts w:ascii="宋体" w:hAnsi="宋体" w:eastAsia="宋体" w:cs="宋体"/>
                <w:sz w:val="18"/>
                <w:szCs w:val="18"/>
              </w:rPr>
              <w:t>78,657,134.57</w:t>
            </w:r>
          </w:p>
        </w:tc>
        <w:tc>
          <w:tcPr>
            <w:tcW w:w="1928" w:type="dxa"/>
            <w:tcBorders>
              <w:top w:val="single" w:color="auto" w:sz="2" w:space="0"/>
              <w:left w:val="single" w:color="auto" w:sz="2" w:space="0"/>
              <w:bottom w:val="single" w:color="auto" w:sz="2" w:space="0"/>
              <w:right w:val="single" w:color="auto" w:sz="2" w:space="0"/>
            </w:tcBorders>
            <w:vAlign w:val="center"/>
          </w:tcPr>
          <w:p w14:paraId="4AF44800">
            <w:pPr>
              <w:spacing w:before="0" w:after="0" w:line="240" w:lineRule="exact"/>
              <w:jc w:val="right"/>
              <w:rPr>
                <w:rFonts w:ascii="宋体" w:hAnsi="宋体" w:eastAsia="宋体" w:cs="宋体"/>
                <w:sz w:val="18"/>
                <w:szCs w:val="18"/>
              </w:rPr>
            </w:pPr>
            <w:r>
              <w:rPr>
                <w:rFonts w:ascii="宋体" w:hAnsi="宋体" w:eastAsia="宋体" w:cs="宋体"/>
                <w:sz w:val="18"/>
                <w:szCs w:val="18"/>
              </w:rPr>
              <w:t>69,000,288.63</w:t>
            </w:r>
          </w:p>
        </w:tc>
        <w:tc>
          <w:tcPr>
            <w:tcW w:w="1928" w:type="dxa"/>
            <w:tcBorders>
              <w:top w:val="single" w:color="auto" w:sz="2" w:space="0"/>
              <w:left w:val="single" w:color="auto" w:sz="2" w:space="0"/>
              <w:bottom w:val="single" w:color="auto" w:sz="2" w:space="0"/>
              <w:right w:val="single" w:color="auto" w:sz="2" w:space="0"/>
            </w:tcBorders>
            <w:vAlign w:val="center"/>
          </w:tcPr>
          <w:p w14:paraId="0B7A0864">
            <w:pPr>
              <w:spacing w:before="0" w:after="0" w:line="240" w:lineRule="exact"/>
              <w:jc w:val="right"/>
              <w:rPr>
                <w:rFonts w:ascii="宋体" w:hAnsi="宋体" w:eastAsia="宋体" w:cs="宋体"/>
                <w:sz w:val="18"/>
                <w:szCs w:val="18"/>
              </w:rPr>
            </w:pPr>
            <w:r>
              <w:rPr>
                <w:rFonts w:ascii="宋体" w:hAnsi="宋体" w:eastAsia="宋体" w:cs="宋体"/>
                <w:sz w:val="18"/>
                <w:szCs w:val="18"/>
              </w:rPr>
              <w:t>14.00%</w:t>
            </w:r>
          </w:p>
        </w:tc>
        <w:tc>
          <w:tcPr>
            <w:tcW w:w="1928" w:type="dxa"/>
            <w:tcBorders>
              <w:top w:val="single" w:color="auto" w:sz="2" w:space="0"/>
              <w:left w:val="single" w:color="auto" w:sz="2" w:space="0"/>
              <w:bottom w:val="single" w:color="auto" w:sz="2" w:space="0"/>
              <w:right w:val="single" w:color="auto" w:sz="2" w:space="0"/>
            </w:tcBorders>
            <w:vAlign w:val="center"/>
          </w:tcPr>
          <w:p w14:paraId="3A2DA105">
            <w:pPr>
              <w:spacing w:before="0" w:after="0" w:line="240" w:lineRule="exact"/>
              <w:jc w:val="right"/>
              <w:rPr>
                <w:rFonts w:ascii="宋体" w:hAnsi="宋体" w:eastAsia="宋体" w:cs="宋体"/>
                <w:sz w:val="18"/>
                <w:szCs w:val="18"/>
              </w:rPr>
            </w:pPr>
            <w:r>
              <w:rPr>
                <w:rFonts w:ascii="宋体" w:hAnsi="宋体" w:eastAsia="宋体" w:cs="宋体"/>
                <w:sz w:val="18"/>
                <w:szCs w:val="18"/>
              </w:rPr>
              <w:t>71,832,084.47</w:t>
            </w:r>
          </w:p>
        </w:tc>
      </w:tr>
      <w:tr w14:paraId="2D80A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0D9954D1">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656" w:type="dxa"/>
            <w:tcBorders>
              <w:top w:val="single" w:color="auto" w:sz="2" w:space="0"/>
              <w:left w:val="single" w:color="auto" w:sz="2" w:space="0"/>
              <w:bottom w:val="single" w:color="auto" w:sz="2" w:space="0"/>
              <w:right w:val="single" w:color="auto" w:sz="2" w:space="0"/>
            </w:tcBorders>
            <w:vAlign w:val="center"/>
          </w:tcPr>
          <w:p w14:paraId="32BC1E14">
            <w:pPr>
              <w:spacing w:before="0" w:after="0" w:line="240" w:lineRule="exact"/>
              <w:jc w:val="right"/>
              <w:rPr>
                <w:rFonts w:ascii="宋体" w:hAnsi="宋体" w:eastAsia="宋体" w:cs="宋体"/>
                <w:sz w:val="18"/>
                <w:szCs w:val="18"/>
              </w:rPr>
            </w:pPr>
            <w:r>
              <w:rPr>
                <w:rFonts w:ascii="宋体" w:hAnsi="宋体" w:eastAsia="宋体" w:cs="宋体"/>
                <w:sz w:val="18"/>
                <w:szCs w:val="18"/>
              </w:rPr>
              <w:t>93,069,170.87</w:t>
            </w:r>
          </w:p>
        </w:tc>
        <w:tc>
          <w:tcPr>
            <w:tcW w:w="1928" w:type="dxa"/>
            <w:tcBorders>
              <w:top w:val="single" w:color="auto" w:sz="2" w:space="0"/>
              <w:left w:val="single" w:color="auto" w:sz="2" w:space="0"/>
              <w:bottom w:val="single" w:color="auto" w:sz="2" w:space="0"/>
              <w:right w:val="single" w:color="auto" w:sz="2" w:space="0"/>
            </w:tcBorders>
            <w:vAlign w:val="center"/>
          </w:tcPr>
          <w:p w14:paraId="0390E746">
            <w:pPr>
              <w:spacing w:before="0" w:after="0" w:line="240" w:lineRule="exact"/>
              <w:jc w:val="right"/>
              <w:rPr>
                <w:rFonts w:ascii="宋体" w:hAnsi="宋体" w:eastAsia="宋体" w:cs="宋体"/>
                <w:sz w:val="18"/>
                <w:szCs w:val="18"/>
              </w:rPr>
            </w:pPr>
            <w:r>
              <w:rPr>
                <w:rFonts w:ascii="宋体" w:hAnsi="宋体" w:eastAsia="宋体" w:cs="宋体"/>
                <w:sz w:val="18"/>
                <w:szCs w:val="18"/>
              </w:rPr>
              <w:t>73,305,594.02</w:t>
            </w:r>
          </w:p>
        </w:tc>
        <w:tc>
          <w:tcPr>
            <w:tcW w:w="1928" w:type="dxa"/>
            <w:tcBorders>
              <w:top w:val="single" w:color="auto" w:sz="2" w:space="0"/>
              <w:left w:val="single" w:color="auto" w:sz="2" w:space="0"/>
              <w:bottom w:val="single" w:color="auto" w:sz="2" w:space="0"/>
              <w:right w:val="single" w:color="auto" w:sz="2" w:space="0"/>
            </w:tcBorders>
            <w:vAlign w:val="center"/>
          </w:tcPr>
          <w:p w14:paraId="5A0E7905">
            <w:pPr>
              <w:spacing w:before="0" w:after="0" w:line="240" w:lineRule="exact"/>
              <w:jc w:val="right"/>
              <w:rPr>
                <w:rFonts w:ascii="宋体" w:hAnsi="宋体" w:eastAsia="宋体" w:cs="宋体"/>
                <w:sz w:val="18"/>
                <w:szCs w:val="18"/>
              </w:rPr>
            </w:pPr>
            <w:r>
              <w:rPr>
                <w:rFonts w:ascii="宋体" w:hAnsi="宋体" w:eastAsia="宋体" w:cs="宋体"/>
                <w:sz w:val="18"/>
                <w:szCs w:val="18"/>
              </w:rPr>
              <w:t>26.96%</w:t>
            </w:r>
          </w:p>
        </w:tc>
        <w:tc>
          <w:tcPr>
            <w:tcW w:w="1928" w:type="dxa"/>
            <w:tcBorders>
              <w:top w:val="single" w:color="auto" w:sz="2" w:space="0"/>
              <w:left w:val="single" w:color="auto" w:sz="2" w:space="0"/>
              <w:bottom w:val="single" w:color="auto" w:sz="2" w:space="0"/>
              <w:right w:val="single" w:color="auto" w:sz="2" w:space="0"/>
            </w:tcBorders>
            <w:vAlign w:val="center"/>
          </w:tcPr>
          <w:p w14:paraId="468BA2B8">
            <w:pPr>
              <w:spacing w:before="0" w:after="0" w:line="240" w:lineRule="exact"/>
              <w:jc w:val="right"/>
              <w:rPr>
                <w:rFonts w:ascii="宋体" w:hAnsi="宋体" w:eastAsia="宋体" w:cs="宋体"/>
                <w:sz w:val="18"/>
                <w:szCs w:val="18"/>
              </w:rPr>
            </w:pPr>
            <w:r>
              <w:rPr>
                <w:rFonts w:ascii="宋体" w:hAnsi="宋体" w:eastAsia="宋体" w:cs="宋体"/>
                <w:sz w:val="18"/>
                <w:szCs w:val="18"/>
              </w:rPr>
              <w:t>98,473,583.48</w:t>
            </w:r>
          </w:p>
        </w:tc>
      </w:tr>
      <w:tr w14:paraId="26212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10C14BBE">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656" w:type="dxa"/>
            <w:tcBorders>
              <w:top w:val="single" w:color="auto" w:sz="2" w:space="0"/>
              <w:left w:val="single" w:color="auto" w:sz="2" w:space="0"/>
              <w:bottom w:val="single" w:color="auto" w:sz="2" w:space="0"/>
              <w:right w:val="single" w:color="auto" w:sz="2" w:space="0"/>
            </w:tcBorders>
            <w:vAlign w:val="center"/>
          </w:tcPr>
          <w:p w14:paraId="5B503392">
            <w:pPr>
              <w:spacing w:before="0" w:after="0" w:line="240" w:lineRule="exact"/>
              <w:jc w:val="right"/>
              <w:rPr>
                <w:rFonts w:ascii="宋体" w:hAnsi="宋体" w:eastAsia="宋体" w:cs="宋体"/>
                <w:sz w:val="18"/>
                <w:szCs w:val="18"/>
              </w:rPr>
            </w:pPr>
            <w:r>
              <w:rPr>
                <w:rFonts w:ascii="宋体" w:hAnsi="宋体" w:eastAsia="宋体" w:cs="宋体"/>
                <w:sz w:val="18"/>
                <w:szCs w:val="18"/>
              </w:rPr>
              <w:t>0.50</w:t>
            </w:r>
          </w:p>
        </w:tc>
        <w:tc>
          <w:tcPr>
            <w:tcW w:w="1928" w:type="dxa"/>
            <w:tcBorders>
              <w:top w:val="single" w:color="auto" w:sz="2" w:space="0"/>
              <w:left w:val="single" w:color="auto" w:sz="2" w:space="0"/>
              <w:bottom w:val="single" w:color="auto" w:sz="2" w:space="0"/>
              <w:right w:val="single" w:color="auto" w:sz="2" w:space="0"/>
            </w:tcBorders>
            <w:vAlign w:val="center"/>
          </w:tcPr>
          <w:p w14:paraId="1799D1D8">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928" w:type="dxa"/>
            <w:tcBorders>
              <w:top w:val="single" w:color="auto" w:sz="2" w:space="0"/>
              <w:left w:val="single" w:color="auto" w:sz="2" w:space="0"/>
              <w:bottom w:val="single" w:color="auto" w:sz="2" w:space="0"/>
              <w:right w:val="single" w:color="auto" w:sz="2" w:space="0"/>
            </w:tcBorders>
            <w:vAlign w:val="center"/>
          </w:tcPr>
          <w:p w14:paraId="2EF125FF">
            <w:pPr>
              <w:spacing w:before="0" w:after="0" w:line="240" w:lineRule="exact"/>
              <w:jc w:val="right"/>
              <w:rPr>
                <w:rFonts w:ascii="宋体" w:hAnsi="宋体" w:eastAsia="宋体" w:cs="宋体"/>
                <w:sz w:val="18"/>
                <w:szCs w:val="18"/>
              </w:rPr>
            </w:pPr>
            <w:r>
              <w:rPr>
                <w:rFonts w:ascii="宋体" w:hAnsi="宋体" w:eastAsia="宋体" w:cs="宋体"/>
                <w:sz w:val="18"/>
                <w:szCs w:val="18"/>
              </w:rPr>
              <w:t>13.64%</w:t>
            </w:r>
          </w:p>
        </w:tc>
        <w:tc>
          <w:tcPr>
            <w:tcW w:w="1928" w:type="dxa"/>
            <w:tcBorders>
              <w:top w:val="single" w:color="auto" w:sz="2" w:space="0"/>
              <w:left w:val="single" w:color="auto" w:sz="2" w:space="0"/>
              <w:bottom w:val="single" w:color="auto" w:sz="2" w:space="0"/>
              <w:right w:val="single" w:color="auto" w:sz="2" w:space="0"/>
            </w:tcBorders>
            <w:vAlign w:val="center"/>
          </w:tcPr>
          <w:p w14:paraId="5AF63771">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r w14:paraId="05190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30F42C11">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656" w:type="dxa"/>
            <w:tcBorders>
              <w:top w:val="single" w:color="auto" w:sz="2" w:space="0"/>
              <w:left w:val="single" w:color="auto" w:sz="2" w:space="0"/>
              <w:bottom w:val="single" w:color="auto" w:sz="2" w:space="0"/>
              <w:right w:val="single" w:color="auto" w:sz="2" w:space="0"/>
            </w:tcBorders>
            <w:vAlign w:val="center"/>
          </w:tcPr>
          <w:p w14:paraId="7DA1B9E6">
            <w:pPr>
              <w:spacing w:before="0" w:after="0" w:line="240" w:lineRule="exact"/>
              <w:jc w:val="right"/>
              <w:rPr>
                <w:rFonts w:ascii="宋体" w:hAnsi="宋体" w:eastAsia="宋体" w:cs="宋体"/>
                <w:sz w:val="18"/>
                <w:szCs w:val="18"/>
              </w:rPr>
            </w:pPr>
            <w:r>
              <w:rPr>
                <w:rFonts w:ascii="宋体" w:hAnsi="宋体" w:eastAsia="宋体" w:cs="宋体"/>
                <w:sz w:val="18"/>
                <w:szCs w:val="18"/>
              </w:rPr>
              <w:t>0.50</w:t>
            </w:r>
          </w:p>
        </w:tc>
        <w:tc>
          <w:tcPr>
            <w:tcW w:w="1928" w:type="dxa"/>
            <w:tcBorders>
              <w:top w:val="single" w:color="auto" w:sz="2" w:space="0"/>
              <w:left w:val="single" w:color="auto" w:sz="2" w:space="0"/>
              <w:bottom w:val="single" w:color="auto" w:sz="2" w:space="0"/>
              <w:right w:val="single" w:color="auto" w:sz="2" w:space="0"/>
            </w:tcBorders>
            <w:vAlign w:val="center"/>
          </w:tcPr>
          <w:p w14:paraId="314B593A">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928" w:type="dxa"/>
            <w:tcBorders>
              <w:top w:val="single" w:color="auto" w:sz="2" w:space="0"/>
              <w:left w:val="single" w:color="auto" w:sz="2" w:space="0"/>
              <w:bottom w:val="single" w:color="auto" w:sz="2" w:space="0"/>
              <w:right w:val="single" w:color="auto" w:sz="2" w:space="0"/>
            </w:tcBorders>
            <w:vAlign w:val="center"/>
          </w:tcPr>
          <w:p w14:paraId="562C52C7">
            <w:pPr>
              <w:spacing w:before="0" w:after="0" w:line="240" w:lineRule="exact"/>
              <w:jc w:val="right"/>
              <w:rPr>
                <w:rFonts w:ascii="宋体" w:hAnsi="宋体" w:eastAsia="宋体" w:cs="宋体"/>
                <w:sz w:val="18"/>
                <w:szCs w:val="18"/>
              </w:rPr>
            </w:pPr>
            <w:r>
              <w:rPr>
                <w:rFonts w:ascii="宋体" w:hAnsi="宋体" w:eastAsia="宋体" w:cs="宋体"/>
                <w:sz w:val="18"/>
                <w:szCs w:val="18"/>
              </w:rPr>
              <w:t>13.64%</w:t>
            </w:r>
          </w:p>
        </w:tc>
        <w:tc>
          <w:tcPr>
            <w:tcW w:w="1928" w:type="dxa"/>
            <w:tcBorders>
              <w:top w:val="single" w:color="auto" w:sz="2" w:space="0"/>
              <w:left w:val="single" w:color="auto" w:sz="2" w:space="0"/>
              <w:bottom w:val="single" w:color="auto" w:sz="2" w:space="0"/>
              <w:right w:val="single" w:color="auto" w:sz="2" w:space="0"/>
            </w:tcBorders>
            <w:vAlign w:val="center"/>
          </w:tcPr>
          <w:p w14:paraId="172D909B">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r w14:paraId="33751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00" w:type="dxa"/>
            <w:tcBorders>
              <w:top w:val="single" w:color="auto" w:sz="2" w:space="0"/>
              <w:left w:val="single" w:color="auto" w:sz="2" w:space="0"/>
              <w:bottom w:val="single" w:color="auto" w:sz="2" w:space="0"/>
              <w:right w:val="single" w:color="auto" w:sz="2" w:space="0"/>
            </w:tcBorders>
            <w:shd w:val="clear" w:color="auto" w:fill="D3D3D3"/>
            <w:vAlign w:val="center"/>
          </w:tcPr>
          <w:p w14:paraId="323EBA98">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656" w:type="dxa"/>
            <w:tcBorders>
              <w:top w:val="single" w:color="auto" w:sz="2" w:space="0"/>
              <w:left w:val="single" w:color="auto" w:sz="2" w:space="0"/>
              <w:bottom w:val="single" w:color="auto" w:sz="2" w:space="0"/>
              <w:right w:val="single" w:color="auto" w:sz="2" w:space="0"/>
            </w:tcBorders>
            <w:vAlign w:val="center"/>
          </w:tcPr>
          <w:p w14:paraId="5AA8473D">
            <w:pPr>
              <w:spacing w:before="0" w:after="0" w:line="240" w:lineRule="exact"/>
              <w:jc w:val="right"/>
              <w:rPr>
                <w:rFonts w:ascii="宋体" w:hAnsi="宋体" w:eastAsia="宋体" w:cs="宋体"/>
                <w:sz w:val="18"/>
                <w:szCs w:val="18"/>
              </w:rPr>
            </w:pPr>
            <w:r>
              <w:rPr>
                <w:rFonts w:ascii="宋体" w:hAnsi="宋体" w:eastAsia="宋体" w:cs="宋体"/>
                <w:sz w:val="18"/>
                <w:szCs w:val="18"/>
              </w:rPr>
              <w:t>9.78%</w:t>
            </w:r>
          </w:p>
        </w:tc>
        <w:tc>
          <w:tcPr>
            <w:tcW w:w="1928" w:type="dxa"/>
            <w:tcBorders>
              <w:top w:val="single" w:color="auto" w:sz="2" w:space="0"/>
              <w:left w:val="single" w:color="auto" w:sz="2" w:space="0"/>
              <w:bottom w:val="single" w:color="auto" w:sz="2" w:space="0"/>
              <w:right w:val="single" w:color="auto" w:sz="2" w:space="0"/>
            </w:tcBorders>
            <w:vAlign w:val="center"/>
          </w:tcPr>
          <w:p w14:paraId="01B03943">
            <w:pPr>
              <w:spacing w:before="0" w:after="0" w:line="240" w:lineRule="exact"/>
              <w:jc w:val="right"/>
              <w:rPr>
                <w:rFonts w:ascii="宋体" w:hAnsi="宋体" w:eastAsia="宋体" w:cs="宋体"/>
                <w:sz w:val="18"/>
                <w:szCs w:val="18"/>
              </w:rPr>
            </w:pPr>
            <w:r>
              <w:rPr>
                <w:rFonts w:ascii="宋体" w:hAnsi="宋体" w:eastAsia="宋体" w:cs="宋体"/>
                <w:sz w:val="18"/>
                <w:szCs w:val="18"/>
              </w:rPr>
              <w:t>9.10%</w:t>
            </w:r>
          </w:p>
        </w:tc>
        <w:tc>
          <w:tcPr>
            <w:tcW w:w="1928" w:type="dxa"/>
            <w:tcBorders>
              <w:top w:val="single" w:color="auto" w:sz="2" w:space="0"/>
              <w:left w:val="single" w:color="auto" w:sz="2" w:space="0"/>
              <w:bottom w:val="single" w:color="auto" w:sz="2" w:space="0"/>
              <w:right w:val="single" w:color="auto" w:sz="2" w:space="0"/>
            </w:tcBorders>
            <w:vAlign w:val="center"/>
          </w:tcPr>
          <w:p w14:paraId="4259AF8F">
            <w:pPr>
              <w:spacing w:before="0" w:after="0" w:line="240" w:lineRule="exact"/>
              <w:jc w:val="right"/>
              <w:rPr>
                <w:rFonts w:ascii="宋体" w:hAnsi="宋体" w:eastAsia="宋体" w:cs="宋体"/>
                <w:sz w:val="18"/>
                <w:szCs w:val="18"/>
              </w:rPr>
            </w:pPr>
            <w:r>
              <w:rPr>
                <w:rFonts w:ascii="宋体" w:hAnsi="宋体" w:eastAsia="宋体" w:cs="宋体"/>
                <w:sz w:val="18"/>
                <w:szCs w:val="18"/>
              </w:rPr>
              <w:t>0.68%</w:t>
            </w:r>
          </w:p>
        </w:tc>
        <w:tc>
          <w:tcPr>
            <w:tcW w:w="1928" w:type="dxa"/>
            <w:tcBorders>
              <w:top w:val="single" w:color="auto" w:sz="2" w:space="0"/>
              <w:left w:val="single" w:color="auto" w:sz="2" w:space="0"/>
              <w:bottom w:val="single" w:color="auto" w:sz="2" w:space="0"/>
              <w:right w:val="single" w:color="auto" w:sz="2" w:space="0"/>
            </w:tcBorders>
            <w:vAlign w:val="center"/>
          </w:tcPr>
          <w:p w14:paraId="361B9903">
            <w:pPr>
              <w:spacing w:before="0" w:after="0" w:line="240" w:lineRule="exact"/>
              <w:jc w:val="right"/>
              <w:rPr>
                <w:rFonts w:ascii="宋体" w:hAnsi="宋体" w:eastAsia="宋体" w:cs="宋体"/>
                <w:sz w:val="18"/>
                <w:szCs w:val="18"/>
              </w:rPr>
            </w:pPr>
            <w:r>
              <w:rPr>
                <w:rFonts w:ascii="宋体" w:hAnsi="宋体" w:eastAsia="宋体" w:cs="宋体"/>
                <w:sz w:val="18"/>
                <w:szCs w:val="18"/>
              </w:rPr>
              <w:t>10.30%</w:t>
            </w:r>
          </w:p>
        </w:tc>
      </w:tr>
    </w:tbl>
    <w:p w14:paraId="5C37412A">
      <w:pPr>
        <w:keepNext/>
        <w:keepLines/>
        <w:spacing w:before="300" w:after="300" w:line="280" w:lineRule="exact"/>
        <w:jc w:val="left"/>
        <w:outlineLvl w:val="3"/>
        <w:rPr>
          <w:rFonts w:ascii="宋体" w:hAnsi="宋体" w:eastAsia="宋体" w:cs="宋体"/>
          <w:b/>
          <w:bCs/>
          <w:sz w:val="18"/>
          <w:szCs w:val="18"/>
        </w:rPr>
      </w:pPr>
      <w:bookmarkStart w:id="6" w:name="_Toc988895"/>
      <w:r>
        <w:rPr>
          <w:rFonts w:ascii="宋体" w:hAnsi="宋体" w:eastAsia="宋体" w:cs="宋体"/>
          <w:b/>
          <w:bCs/>
          <w:sz w:val="18"/>
          <w:szCs w:val="18"/>
        </w:rPr>
        <w:t>（2）分季度主要会计数据</w:t>
      </w:r>
      <w:bookmarkEnd w:id="6"/>
    </w:p>
    <w:p w14:paraId="012001B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3261B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0F468F"/>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6C2B23">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AF25590">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7C1BE18">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8550F7">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14:paraId="2C8CD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67E81C">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5066C5FE">
            <w:pPr>
              <w:spacing w:before="0" w:after="0" w:line="240" w:lineRule="exact"/>
              <w:jc w:val="right"/>
              <w:rPr>
                <w:rFonts w:ascii="宋体" w:hAnsi="宋体" w:eastAsia="宋体" w:cs="宋体"/>
                <w:sz w:val="18"/>
                <w:szCs w:val="18"/>
              </w:rPr>
            </w:pPr>
            <w:r>
              <w:rPr>
                <w:rFonts w:ascii="宋体" w:hAnsi="宋体" w:eastAsia="宋体" w:cs="宋体"/>
                <w:sz w:val="18"/>
                <w:szCs w:val="18"/>
              </w:rPr>
              <w:t>131,932,438.14</w:t>
            </w:r>
          </w:p>
        </w:tc>
        <w:tc>
          <w:tcPr>
            <w:tcW w:w="1928" w:type="dxa"/>
            <w:tcBorders>
              <w:top w:val="single" w:color="auto" w:sz="2" w:space="0"/>
              <w:left w:val="single" w:color="auto" w:sz="2" w:space="0"/>
              <w:bottom w:val="single" w:color="auto" w:sz="2" w:space="0"/>
              <w:right w:val="single" w:color="auto" w:sz="2" w:space="0"/>
            </w:tcBorders>
            <w:vAlign w:val="center"/>
          </w:tcPr>
          <w:p w14:paraId="3ABEB533">
            <w:pPr>
              <w:spacing w:before="0" w:after="0" w:line="240" w:lineRule="exact"/>
              <w:jc w:val="right"/>
              <w:rPr>
                <w:rFonts w:ascii="宋体" w:hAnsi="宋体" w:eastAsia="宋体" w:cs="宋体"/>
                <w:sz w:val="18"/>
                <w:szCs w:val="18"/>
              </w:rPr>
            </w:pPr>
            <w:r>
              <w:rPr>
                <w:rFonts w:ascii="宋体" w:hAnsi="宋体" w:eastAsia="宋体" w:cs="宋体"/>
                <w:sz w:val="18"/>
                <w:szCs w:val="18"/>
              </w:rPr>
              <w:t>130,281,878.51</w:t>
            </w:r>
          </w:p>
        </w:tc>
        <w:tc>
          <w:tcPr>
            <w:tcW w:w="1928" w:type="dxa"/>
            <w:tcBorders>
              <w:top w:val="single" w:color="auto" w:sz="2" w:space="0"/>
              <w:left w:val="single" w:color="auto" w:sz="2" w:space="0"/>
              <w:bottom w:val="single" w:color="auto" w:sz="2" w:space="0"/>
              <w:right w:val="single" w:color="auto" w:sz="2" w:space="0"/>
            </w:tcBorders>
            <w:vAlign w:val="center"/>
          </w:tcPr>
          <w:p w14:paraId="259F668A">
            <w:pPr>
              <w:spacing w:before="0" w:after="0" w:line="240" w:lineRule="exact"/>
              <w:jc w:val="right"/>
              <w:rPr>
                <w:rFonts w:ascii="宋体" w:hAnsi="宋体" w:eastAsia="宋体" w:cs="宋体"/>
                <w:sz w:val="18"/>
                <w:szCs w:val="18"/>
              </w:rPr>
            </w:pPr>
            <w:r>
              <w:rPr>
                <w:rFonts w:ascii="宋体" w:hAnsi="宋体" w:eastAsia="宋体" w:cs="宋体"/>
                <w:sz w:val="18"/>
                <w:szCs w:val="18"/>
              </w:rPr>
              <w:t>133,050,530.64</w:t>
            </w:r>
          </w:p>
        </w:tc>
        <w:tc>
          <w:tcPr>
            <w:tcW w:w="1928" w:type="dxa"/>
            <w:tcBorders>
              <w:top w:val="single" w:color="auto" w:sz="2" w:space="0"/>
              <w:left w:val="single" w:color="auto" w:sz="2" w:space="0"/>
              <w:bottom w:val="single" w:color="auto" w:sz="2" w:space="0"/>
              <w:right w:val="single" w:color="auto" w:sz="2" w:space="0"/>
            </w:tcBorders>
            <w:vAlign w:val="center"/>
          </w:tcPr>
          <w:p w14:paraId="603A4824">
            <w:pPr>
              <w:spacing w:before="0" w:after="0" w:line="240" w:lineRule="exact"/>
              <w:jc w:val="right"/>
              <w:rPr>
                <w:rFonts w:ascii="宋体" w:hAnsi="宋体" w:eastAsia="宋体" w:cs="宋体"/>
                <w:sz w:val="18"/>
                <w:szCs w:val="18"/>
              </w:rPr>
            </w:pPr>
            <w:r>
              <w:rPr>
                <w:rFonts w:ascii="宋体" w:hAnsi="宋体" w:eastAsia="宋体" w:cs="宋体"/>
                <w:sz w:val="18"/>
                <w:szCs w:val="18"/>
              </w:rPr>
              <w:t>130,595,620.57</w:t>
            </w:r>
          </w:p>
        </w:tc>
      </w:tr>
      <w:tr w14:paraId="7B482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CF653BA">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152EC03D">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c>
          <w:tcPr>
            <w:tcW w:w="1928" w:type="dxa"/>
            <w:tcBorders>
              <w:top w:val="single" w:color="auto" w:sz="2" w:space="0"/>
              <w:left w:val="single" w:color="auto" w:sz="2" w:space="0"/>
              <w:bottom w:val="single" w:color="auto" w:sz="2" w:space="0"/>
              <w:right w:val="single" w:color="auto" w:sz="2" w:space="0"/>
            </w:tcBorders>
            <w:vAlign w:val="center"/>
          </w:tcPr>
          <w:p w14:paraId="58FA2825">
            <w:pPr>
              <w:spacing w:before="0" w:after="0" w:line="240" w:lineRule="exact"/>
              <w:jc w:val="right"/>
              <w:rPr>
                <w:rFonts w:ascii="宋体" w:hAnsi="宋体" w:eastAsia="宋体" w:cs="宋体"/>
                <w:sz w:val="18"/>
                <w:szCs w:val="18"/>
              </w:rPr>
            </w:pPr>
            <w:r>
              <w:rPr>
                <w:rFonts w:ascii="宋体" w:hAnsi="宋体" w:eastAsia="宋体" w:cs="宋体"/>
                <w:sz w:val="18"/>
                <w:szCs w:val="18"/>
              </w:rPr>
              <w:t>31,374,818.31</w:t>
            </w:r>
          </w:p>
        </w:tc>
        <w:tc>
          <w:tcPr>
            <w:tcW w:w="1928" w:type="dxa"/>
            <w:tcBorders>
              <w:top w:val="single" w:color="auto" w:sz="2" w:space="0"/>
              <w:left w:val="single" w:color="auto" w:sz="2" w:space="0"/>
              <w:bottom w:val="single" w:color="auto" w:sz="2" w:space="0"/>
              <w:right w:val="single" w:color="auto" w:sz="2" w:space="0"/>
            </w:tcBorders>
            <w:vAlign w:val="center"/>
          </w:tcPr>
          <w:p w14:paraId="0A15B173">
            <w:pPr>
              <w:spacing w:before="0" w:after="0" w:line="240" w:lineRule="exact"/>
              <w:jc w:val="right"/>
              <w:rPr>
                <w:rFonts w:ascii="宋体" w:hAnsi="宋体" w:eastAsia="宋体" w:cs="宋体"/>
                <w:sz w:val="18"/>
                <w:szCs w:val="18"/>
              </w:rPr>
            </w:pPr>
            <w:r>
              <w:rPr>
                <w:rFonts w:ascii="宋体" w:hAnsi="宋体" w:eastAsia="宋体" w:cs="宋体"/>
                <w:sz w:val="18"/>
                <w:szCs w:val="18"/>
              </w:rPr>
              <w:t>26,561,323.75</w:t>
            </w:r>
          </w:p>
        </w:tc>
        <w:tc>
          <w:tcPr>
            <w:tcW w:w="1928" w:type="dxa"/>
            <w:tcBorders>
              <w:top w:val="single" w:color="auto" w:sz="2" w:space="0"/>
              <w:left w:val="single" w:color="auto" w:sz="2" w:space="0"/>
              <w:bottom w:val="single" w:color="auto" w:sz="2" w:space="0"/>
              <w:right w:val="single" w:color="auto" w:sz="2" w:space="0"/>
            </w:tcBorders>
            <w:vAlign w:val="center"/>
          </w:tcPr>
          <w:p w14:paraId="08F56C34">
            <w:pPr>
              <w:spacing w:before="0" w:after="0" w:line="240" w:lineRule="exact"/>
              <w:jc w:val="right"/>
              <w:rPr>
                <w:rFonts w:ascii="宋体" w:hAnsi="宋体" w:eastAsia="宋体" w:cs="宋体"/>
                <w:sz w:val="18"/>
                <w:szCs w:val="18"/>
              </w:rPr>
            </w:pPr>
            <w:r>
              <w:rPr>
                <w:rFonts w:ascii="宋体" w:hAnsi="宋体" w:eastAsia="宋体" w:cs="宋体"/>
                <w:sz w:val="18"/>
                <w:szCs w:val="18"/>
              </w:rPr>
              <w:t>10,876,677.87</w:t>
            </w:r>
          </w:p>
        </w:tc>
      </w:tr>
      <w:tr w14:paraId="3C0B5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77ED57">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3F03133D">
            <w:pPr>
              <w:spacing w:before="0" w:after="0" w:line="240" w:lineRule="exact"/>
              <w:jc w:val="right"/>
              <w:rPr>
                <w:rFonts w:ascii="宋体" w:hAnsi="宋体" w:eastAsia="宋体" w:cs="宋体"/>
                <w:sz w:val="18"/>
                <w:szCs w:val="18"/>
              </w:rPr>
            </w:pPr>
            <w:r>
              <w:rPr>
                <w:rFonts w:ascii="宋体" w:hAnsi="宋体" w:eastAsia="宋体" w:cs="宋体"/>
                <w:sz w:val="18"/>
                <w:szCs w:val="18"/>
              </w:rPr>
              <w:t>24,912,596.30</w:t>
            </w:r>
          </w:p>
        </w:tc>
        <w:tc>
          <w:tcPr>
            <w:tcW w:w="1928" w:type="dxa"/>
            <w:tcBorders>
              <w:top w:val="single" w:color="auto" w:sz="2" w:space="0"/>
              <w:left w:val="single" w:color="auto" w:sz="2" w:space="0"/>
              <w:bottom w:val="single" w:color="auto" w:sz="2" w:space="0"/>
              <w:right w:val="single" w:color="auto" w:sz="2" w:space="0"/>
            </w:tcBorders>
            <w:vAlign w:val="center"/>
          </w:tcPr>
          <w:p w14:paraId="4E175EF7">
            <w:pPr>
              <w:spacing w:before="0" w:after="0" w:line="240" w:lineRule="exact"/>
              <w:jc w:val="right"/>
              <w:rPr>
                <w:rFonts w:ascii="宋体" w:hAnsi="宋体" w:eastAsia="宋体" w:cs="宋体"/>
                <w:sz w:val="18"/>
                <w:szCs w:val="18"/>
              </w:rPr>
            </w:pPr>
            <w:r>
              <w:rPr>
                <w:rFonts w:ascii="宋体" w:hAnsi="宋体" w:eastAsia="宋体" w:cs="宋体"/>
                <w:sz w:val="18"/>
                <w:szCs w:val="18"/>
              </w:rPr>
              <w:t>27,311,781.31</w:t>
            </w:r>
          </w:p>
        </w:tc>
        <w:tc>
          <w:tcPr>
            <w:tcW w:w="1928" w:type="dxa"/>
            <w:tcBorders>
              <w:top w:val="single" w:color="auto" w:sz="2" w:space="0"/>
              <w:left w:val="single" w:color="auto" w:sz="2" w:space="0"/>
              <w:bottom w:val="single" w:color="auto" w:sz="2" w:space="0"/>
              <w:right w:val="single" w:color="auto" w:sz="2" w:space="0"/>
            </w:tcBorders>
            <w:vAlign w:val="center"/>
          </w:tcPr>
          <w:p w14:paraId="4CF77ACE">
            <w:pPr>
              <w:spacing w:before="0" w:after="0" w:line="240" w:lineRule="exact"/>
              <w:jc w:val="right"/>
              <w:rPr>
                <w:rFonts w:ascii="宋体" w:hAnsi="宋体" w:eastAsia="宋体" w:cs="宋体"/>
                <w:sz w:val="18"/>
                <w:szCs w:val="18"/>
              </w:rPr>
            </w:pPr>
            <w:r>
              <w:rPr>
                <w:rFonts w:ascii="宋体" w:hAnsi="宋体" w:eastAsia="宋体" w:cs="宋体"/>
                <w:sz w:val="18"/>
                <w:szCs w:val="18"/>
              </w:rPr>
              <w:t>22,593,227.70</w:t>
            </w:r>
          </w:p>
        </w:tc>
        <w:tc>
          <w:tcPr>
            <w:tcW w:w="1928" w:type="dxa"/>
            <w:tcBorders>
              <w:top w:val="single" w:color="auto" w:sz="2" w:space="0"/>
              <w:left w:val="single" w:color="auto" w:sz="2" w:space="0"/>
              <w:bottom w:val="single" w:color="auto" w:sz="2" w:space="0"/>
              <w:right w:val="single" w:color="auto" w:sz="2" w:space="0"/>
            </w:tcBorders>
            <w:vAlign w:val="center"/>
          </w:tcPr>
          <w:p w14:paraId="39230858">
            <w:pPr>
              <w:spacing w:before="0" w:after="0" w:line="240" w:lineRule="exact"/>
              <w:jc w:val="right"/>
              <w:rPr>
                <w:rFonts w:ascii="宋体" w:hAnsi="宋体" w:eastAsia="宋体" w:cs="宋体"/>
                <w:sz w:val="18"/>
                <w:szCs w:val="18"/>
              </w:rPr>
            </w:pPr>
            <w:r>
              <w:rPr>
                <w:rFonts w:ascii="宋体" w:hAnsi="宋体" w:eastAsia="宋体" w:cs="宋体"/>
                <w:sz w:val="18"/>
                <w:szCs w:val="18"/>
              </w:rPr>
              <w:t>3,839,529.26</w:t>
            </w:r>
          </w:p>
        </w:tc>
      </w:tr>
      <w:tr w14:paraId="483EF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34C969">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772B8342">
            <w:pPr>
              <w:spacing w:before="0" w:after="0" w:line="240" w:lineRule="exact"/>
              <w:jc w:val="right"/>
              <w:rPr>
                <w:rFonts w:ascii="宋体" w:hAnsi="宋体" w:eastAsia="宋体" w:cs="宋体"/>
                <w:sz w:val="18"/>
                <w:szCs w:val="18"/>
              </w:rPr>
            </w:pPr>
            <w:r>
              <w:rPr>
                <w:rFonts w:ascii="宋体" w:hAnsi="宋体" w:eastAsia="宋体" w:cs="宋体"/>
                <w:sz w:val="18"/>
                <w:szCs w:val="18"/>
              </w:rPr>
              <w:t>-396,794.26</w:t>
            </w:r>
          </w:p>
        </w:tc>
        <w:tc>
          <w:tcPr>
            <w:tcW w:w="1928" w:type="dxa"/>
            <w:tcBorders>
              <w:top w:val="single" w:color="auto" w:sz="2" w:space="0"/>
              <w:left w:val="single" w:color="auto" w:sz="2" w:space="0"/>
              <w:bottom w:val="single" w:color="auto" w:sz="2" w:space="0"/>
              <w:right w:val="single" w:color="auto" w:sz="2" w:space="0"/>
            </w:tcBorders>
            <w:vAlign w:val="center"/>
          </w:tcPr>
          <w:p w14:paraId="684B30CC">
            <w:pPr>
              <w:spacing w:before="0" w:after="0" w:line="240" w:lineRule="exact"/>
              <w:jc w:val="right"/>
              <w:rPr>
                <w:rFonts w:ascii="宋体" w:hAnsi="宋体" w:eastAsia="宋体" w:cs="宋体"/>
                <w:sz w:val="18"/>
                <w:szCs w:val="18"/>
              </w:rPr>
            </w:pPr>
            <w:r>
              <w:rPr>
                <w:rFonts w:ascii="宋体" w:hAnsi="宋体" w:eastAsia="宋体" w:cs="宋体"/>
                <w:sz w:val="18"/>
                <w:szCs w:val="18"/>
              </w:rPr>
              <w:t>34,122,785.80</w:t>
            </w:r>
          </w:p>
        </w:tc>
        <w:tc>
          <w:tcPr>
            <w:tcW w:w="1928" w:type="dxa"/>
            <w:tcBorders>
              <w:top w:val="single" w:color="auto" w:sz="2" w:space="0"/>
              <w:left w:val="single" w:color="auto" w:sz="2" w:space="0"/>
              <w:bottom w:val="single" w:color="auto" w:sz="2" w:space="0"/>
              <w:right w:val="single" w:color="auto" w:sz="2" w:space="0"/>
            </w:tcBorders>
            <w:vAlign w:val="center"/>
          </w:tcPr>
          <w:p w14:paraId="4C948385">
            <w:pPr>
              <w:spacing w:before="0" w:after="0" w:line="240" w:lineRule="exact"/>
              <w:jc w:val="right"/>
              <w:rPr>
                <w:rFonts w:ascii="宋体" w:hAnsi="宋体" w:eastAsia="宋体" w:cs="宋体"/>
                <w:sz w:val="18"/>
                <w:szCs w:val="18"/>
              </w:rPr>
            </w:pPr>
            <w:r>
              <w:rPr>
                <w:rFonts w:ascii="宋体" w:hAnsi="宋体" w:eastAsia="宋体" w:cs="宋体"/>
                <w:sz w:val="18"/>
                <w:szCs w:val="18"/>
              </w:rPr>
              <w:t>28,170,445.63</w:t>
            </w:r>
          </w:p>
        </w:tc>
        <w:tc>
          <w:tcPr>
            <w:tcW w:w="1928" w:type="dxa"/>
            <w:tcBorders>
              <w:top w:val="single" w:color="auto" w:sz="2" w:space="0"/>
              <w:left w:val="single" w:color="auto" w:sz="2" w:space="0"/>
              <w:bottom w:val="single" w:color="auto" w:sz="2" w:space="0"/>
              <w:right w:val="single" w:color="auto" w:sz="2" w:space="0"/>
            </w:tcBorders>
            <w:vAlign w:val="center"/>
          </w:tcPr>
          <w:p w14:paraId="77D3CEF3">
            <w:pPr>
              <w:spacing w:before="0" w:after="0" w:line="240" w:lineRule="exact"/>
              <w:jc w:val="right"/>
              <w:rPr>
                <w:rFonts w:ascii="宋体" w:hAnsi="宋体" w:eastAsia="宋体" w:cs="宋体"/>
                <w:sz w:val="18"/>
                <w:szCs w:val="18"/>
              </w:rPr>
            </w:pPr>
            <w:r>
              <w:rPr>
                <w:rFonts w:ascii="宋体" w:hAnsi="宋体" w:eastAsia="宋体" w:cs="宋体"/>
                <w:sz w:val="18"/>
                <w:szCs w:val="18"/>
              </w:rPr>
              <w:t>31,172,733.70</w:t>
            </w:r>
          </w:p>
        </w:tc>
      </w:tr>
    </w:tbl>
    <w:p w14:paraId="26BFEDC1">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50D25D74">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90DA0CF">
      <w:pPr>
        <w:spacing w:before="100" w:after="100" w:line="240" w:lineRule="exact"/>
        <w:jc w:val="left"/>
        <w:rPr>
          <w:rFonts w:ascii="宋体" w:hAnsi="宋体" w:eastAsia="宋体" w:cs="宋体"/>
          <w:sz w:val="18"/>
          <w:szCs w:val="18"/>
        </w:rPr>
      </w:pPr>
    </w:p>
    <w:p w14:paraId="7FD92B88">
      <w:pPr>
        <w:spacing w:before="100" w:after="100" w:line="240" w:lineRule="exact"/>
        <w:jc w:val="left"/>
        <w:rPr>
          <w:rFonts w:ascii="宋体" w:hAnsi="宋体" w:eastAsia="宋体" w:cs="宋体"/>
          <w:sz w:val="18"/>
          <w:szCs w:val="18"/>
        </w:rPr>
      </w:pPr>
    </w:p>
    <w:p w14:paraId="13278639">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4、股本及股东情况</w:t>
      </w:r>
      <w:bookmarkEnd w:id="7"/>
    </w:p>
    <w:p w14:paraId="63D84AF5">
      <w:pPr>
        <w:keepNext/>
        <w:keepLines/>
        <w:spacing w:before="300" w:after="300" w:line="280" w:lineRule="exact"/>
        <w:jc w:val="left"/>
        <w:outlineLvl w:val="3"/>
        <w:rPr>
          <w:rFonts w:ascii="宋体" w:hAnsi="宋体" w:eastAsia="宋体" w:cs="宋体"/>
          <w:b/>
          <w:bCs/>
          <w:sz w:val="18"/>
          <w:szCs w:val="18"/>
        </w:rPr>
      </w:pPr>
      <w:bookmarkStart w:id="8" w:name="_Toc988897"/>
      <w:r>
        <w:rPr>
          <w:rFonts w:ascii="宋体" w:hAnsi="宋体" w:eastAsia="宋体" w:cs="宋体"/>
          <w:b/>
          <w:bCs/>
          <w:sz w:val="18"/>
          <w:szCs w:val="18"/>
        </w:rPr>
        <w:t>（1）普通股股东和表决权恢复的优先股股东数量及前10名股东持股情况表</w:t>
      </w:r>
      <w:bookmarkEnd w:id="8"/>
    </w:p>
    <w:p w14:paraId="3FD49A9C">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4647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shd w:val="clear" w:color="auto" w:fill="D3D3D3"/>
            <w:vAlign w:val="center"/>
          </w:tcPr>
          <w:p w14:paraId="10006490">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071" w:type="dxa"/>
            <w:vAlign w:val="center"/>
          </w:tcPr>
          <w:p w14:paraId="3E26BCAC">
            <w:pPr>
              <w:spacing w:before="0" w:after="0" w:line="240" w:lineRule="exact"/>
              <w:jc w:val="right"/>
              <w:rPr>
                <w:rFonts w:ascii="宋体" w:hAnsi="宋体" w:eastAsia="宋体" w:cs="宋体"/>
                <w:sz w:val="18"/>
                <w:szCs w:val="18"/>
              </w:rPr>
            </w:pPr>
            <w:r>
              <w:rPr>
                <w:rFonts w:ascii="宋体" w:hAnsi="宋体" w:eastAsia="宋体" w:cs="宋体"/>
                <w:sz w:val="18"/>
                <w:szCs w:val="18"/>
              </w:rPr>
              <w:t>20,056</w:t>
            </w:r>
          </w:p>
        </w:tc>
        <w:tc>
          <w:tcPr>
            <w:tcW w:w="1071" w:type="dxa"/>
            <w:shd w:val="clear" w:color="auto" w:fill="D3D3D3"/>
            <w:vAlign w:val="center"/>
          </w:tcPr>
          <w:p w14:paraId="735D2876">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年度报告披露日前一个月末普通股股东总数</w:t>
            </w:r>
          </w:p>
        </w:tc>
        <w:tc>
          <w:tcPr>
            <w:tcW w:w="1071" w:type="dxa"/>
            <w:vAlign w:val="center"/>
          </w:tcPr>
          <w:p w14:paraId="3A444EA2">
            <w:pPr>
              <w:spacing w:before="0" w:after="0" w:line="240" w:lineRule="exact"/>
              <w:jc w:val="right"/>
              <w:rPr>
                <w:rFonts w:ascii="宋体" w:hAnsi="宋体" w:eastAsia="宋体" w:cs="宋体"/>
                <w:sz w:val="18"/>
                <w:szCs w:val="18"/>
              </w:rPr>
            </w:pPr>
            <w:r>
              <w:rPr>
                <w:rFonts w:ascii="宋体" w:hAnsi="宋体" w:eastAsia="宋体" w:cs="宋体"/>
                <w:sz w:val="18"/>
                <w:szCs w:val="18"/>
              </w:rPr>
              <w:t>18,025</w:t>
            </w:r>
          </w:p>
        </w:tc>
        <w:tc>
          <w:tcPr>
            <w:tcW w:w="1071" w:type="dxa"/>
            <w:shd w:val="clear" w:color="auto" w:fill="D3D3D3"/>
            <w:vAlign w:val="center"/>
          </w:tcPr>
          <w:p w14:paraId="30D41EE1">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1071" w:type="dxa"/>
            <w:vAlign w:val="center"/>
          </w:tcPr>
          <w:p w14:paraId="3CE132F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2142" w:type="dxa"/>
            <w:gridSpan w:val="2"/>
            <w:shd w:val="clear" w:color="auto" w:fill="D3D3D3"/>
            <w:vAlign w:val="center"/>
          </w:tcPr>
          <w:p w14:paraId="32CE909F">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年度报告披露日前一个月末表决权恢复的优先股股东总数</w:t>
            </w:r>
          </w:p>
        </w:tc>
        <w:tc>
          <w:tcPr>
            <w:tcW w:w="1071" w:type="dxa"/>
            <w:vAlign w:val="center"/>
          </w:tcPr>
          <w:p w14:paraId="594D101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067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639" w:type="dxa"/>
            <w:gridSpan w:val="9"/>
            <w:shd w:val="clear" w:color="auto" w:fill="D3D3D3"/>
            <w:vAlign w:val="center"/>
          </w:tcPr>
          <w:p w14:paraId="52B68C6F">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2FA1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Merge w:val="restart"/>
            <w:shd w:val="clear" w:color="auto" w:fill="D3D3D3"/>
            <w:vAlign w:val="center"/>
          </w:tcPr>
          <w:p w14:paraId="2A1D5848">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shd w:val="clear" w:color="auto" w:fill="D3D3D3"/>
            <w:vAlign w:val="center"/>
          </w:tcPr>
          <w:p w14:paraId="4D3EB516">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shd w:val="clear" w:color="auto" w:fill="D3D3D3"/>
            <w:vAlign w:val="center"/>
          </w:tcPr>
          <w:p w14:paraId="4EF86718">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2142" w:type="dxa"/>
            <w:gridSpan w:val="2"/>
            <w:vMerge w:val="restart"/>
            <w:shd w:val="clear" w:color="auto" w:fill="D3D3D3"/>
            <w:vAlign w:val="center"/>
          </w:tcPr>
          <w:p w14:paraId="13E666D9">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2142" w:type="dxa"/>
            <w:gridSpan w:val="2"/>
            <w:vMerge w:val="restart"/>
            <w:shd w:val="clear" w:color="auto" w:fill="D3D3D3"/>
            <w:vAlign w:val="center"/>
          </w:tcPr>
          <w:p w14:paraId="24A658CC">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142" w:type="dxa"/>
            <w:gridSpan w:val="2"/>
            <w:shd w:val="clear" w:color="auto" w:fill="D3D3D3"/>
            <w:vAlign w:val="center"/>
          </w:tcPr>
          <w:p w14:paraId="3C94EA42">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5BAA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Merge w:val="continue"/>
            <w:shd w:val="clear" w:color="auto" w:fill="D3D3D3"/>
            <w:vAlign w:val="center"/>
          </w:tcPr>
          <w:p w14:paraId="0EE6BC99"/>
        </w:tc>
        <w:tc>
          <w:tcPr>
            <w:tcW w:w="1071" w:type="dxa"/>
            <w:vMerge w:val="continue"/>
            <w:shd w:val="clear" w:color="auto" w:fill="D3D3D3"/>
            <w:vAlign w:val="center"/>
          </w:tcPr>
          <w:p w14:paraId="608F55B1"/>
        </w:tc>
        <w:tc>
          <w:tcPr>
            <w:tcW w:w="1071" w:type="dxa"/>
            <w:vMerge w:val="continue"/>
            <w:shd w:val="clear" w:color="auto" w:fill="D3D3D3"/>
            <w:vAlign w:val="center"/>
          </w:tcPr>
          <w:p w14:paraId="5DFA0889"/>
        </w:tc>
        <w:tc>
          <w:tcPr>
            <w:tcW w:w="2142" w:type="dxa"/>
            <w:gridSpan w:val="2"/>
            <w:vMerge w:val="continue"/>
            <w:shd w:val="clear" w:color="auto" w:fill="D3D3D3"/>
            <w:vAlign w:val="center"/>
          </w:tcPr>
          <w:p w14:paraId="66E83555"/>
        </w:tc>
        <w:tc>
          <w:tcPr>
            <w:tcW w:w="2142" w:type="dxa"/>
            <w:gridSpan w:val="2"/>
            <w:vMerge w:val="continue"/>
            <w:shd w:val="clear" w:color="auto" w:fill="D3D3D3"/>
            <w:vAlign w:val="center"/>
          </w:tcPr>
          <w:p w14:paraId="13A0F7FE"/>
        </w:tc>
        <w:tc>
          <w:tcPr>
            <w:tcW w:w="1071" w:type="dxa"/>
            <w:shd w:val="clear" w:color="auto" w:fill="D3D3D3"/>
            <w:vAlign w:val="center"/>
          </w:tcPr>
          <w:p w14:paraId="25239521">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shd w:val="clear" w:color="auto" w:fill="D3D3D3"/>
            <w:vAlign w:val="center"/>
          </w:tcPr>
          <w:p w14:paraId="60CAD868">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6504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19B35CA1">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071" w:type="dxa"/>
            <w:vAlign w:val="center"/>
          </w:tcPr>
          <w:p w14:paraId="530BD7C5">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1071" w:type="dxa"/>
            <w:vAlign w:val="center"/>
          </w:tcPr>
          <w:p w14:paraId="114FC6AF">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2142" w:type="dxa"/>
            <w:gridSpan w:val="2"/>
            <w:vAlign w:val="center"/>
          </w:tcPr>
          <w:p w14:paraId="0D6FC7AE">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2142" w:type="dxa"/>
            <w:gridSpan w:val="2"/>
            <w:vAlign w:val="center"/>
          </w:tcPr>
          <w:p w14:paraId="7A2E35C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3D5CB50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09652F2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C5D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6D971F24">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1071" w:type="dxa"/>
            <w:vAlign w:val="center"/>
          </w:tcPr>
          <w:p w14:paraId="1D7D893E">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vAlign w:val="center"/>
          </w:tcPr>
          <w:p w14:paraId="4F3DE841">
            <w:pPr>
              <w:spacing w:before="0" w:after="0" w:line="240" w:lineRule="exact"/>
              <w:jc w:val="right"/>
              <w:rPr>
                <w:rFonts w:ascii="宋体" w:hAnsi="宋体" w:eastAsia="宋体" w:cs="宋体"/>
                <w:sz w:val="18"/>
                <w:szCs w:val="18"/>
              </w:rPr>
            </w:pPr>
            <w:r>
              <w:rPr>
                <w:rFonts w:ascii="宋体" w:hAnsi="宋体" w:eastAsia="宋体" w:cs="宋体"/>
                <w:sz w:val="18"/>
                <w:szCs w:val="18"/>
              </w:rPr>
              <w:t>2.63%</w:t>
            </w:r>
          </w:p>
        </w:tc>
        <w:tc>
          <w:tcPr>
            <w:tcW w:w="2142" w:type="dxa"/>
            <w:gridSpan w:val="2"/>
            <w:vAlign w:val="center"/>
          </w:tcPr>
          <w:p w14:paraId="2E3327A3">
            <w:pPr>
              <w:spacing w:before="0" w:after="0" w:line="240" w:lineRule="exact"/>
              <w:jc w:val="right"/>
              <w:rPr>
                <w:rFonts w:ascii="宋体" w:hAnsi="宋体" w:eastAsia="宋体" w:cs="宋体"/>
                <w:sz w:val="18"/>
                <w:szCs w:val="18"/>
              </w:rPr>
            </w:pPr>
            <w:r>
              <w:rPr>
                <w:rFonts w:ascii="宋体" w:hAnsi="宋体" w:eastAsia="宋体" w:cs="宋体"/>
                <w:sz w:val="18"/>
                <w:szCs w:val="18"/>
              </w:rPr>
              <w:t>5,119,392</w:t>
            </w:r>
          </w:p>
        </w:tc>
        <w:tc>
          <w:tcPr>
            <w:tcW w:w="2142" w:type="dxa"/>
            <w:gridSpan w:val="2"/>
            <w:vAlign w:val="center"/>
          </w:tcPr>
          <w:p w14:paraId="18910AAB">
            <w:pPr>
              <w:spacing w:before="0" w:after="0" w:line="240" w:lineRule="exact"/>
              <w:jc w:val="right"/>
              <w:rPr>
                <w:rFonts w:ascii="宋体" w:hAnsi="宋体" w:eastAsia="宋体" w:cs="宋体"/>
                <w:sz w:val="18"/>
                <w:szCs w:val="18"/>
              </w:rPr>
            </w:pPr>
            <w:r>
              <w:rPr>
                <w:rFonts w:ascii="宋体" w:hAnsi="宋体" w:eastAsia="宋体" w:cs="宋体"/>
                <w:sz w:val="18"/>
                <w:szCs w:val="18"/>
              </w:rPr>
              <w:t>5,119,392</w:t>
            </w:r>
          </w:p>
        </w:tc>
        <w:tc>
          <w:tcPr>
            <w:tcW w:w="1071" w:type="dxa"/>
            <w:vAlign w:val="center"/>
          </w:tcPr>
          <w:p w14:paraId="4259606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7130A96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05A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1E55FC23">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071" w:type="dxa"/>
            <w:vAlign w:val="center"/>
          </w:tcPr>
          <w:p w14:paraId="11AA8058">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vAlign w:val="center"/>
          </w:tcPr>
          <w:p w14:paraId="788C0231">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2142" w:type="dxa"/>
            <w:gridSpan w:val="2"/>
            <w:vAlign w:val="center"/>
          </w:tcPr>
          <w:p w14:paraId="5E21D4B8">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2142" w:type="dxa"/>
            <w:gridSpan w:val="2"/>
            <w:vAlign w:val="center"/>
          </w:tcPr>
          <w:p w14:paraId="1A90817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2F00A11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2DFE43C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9BC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29EB156C">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071" w:type="dxa"/>
            <w:vAlign w:val="center"/>
          </w:tcPr>
          <w:p w14:paraId="67407ED4">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vAlign w:val="center"/>
          </w:tcPr>
          <w:p w14:paraId="79513FE9">
            <w:pPr>
              <w:spacing w:before="0" w:after="0" w:line="240" w:lineRule="exact"/>
              <w:jc w:val="right"/>
              <w:rPr>
                <w:rFonts w:ascii="宋体" w:hAnsi="宋体" w:eastAsia="宋体" w:cs="宋体"/>
                <w:sz w:val="18"/>
                <w:szCs w:val="18"/>
              </w:rPr>
            </w:pPr>
            <w:r>
              <w:rPr>
                <w:rFonts w:ascii="宋体" w:hAnsi="宋体" w:eastAsia="宋体" w:cs="宋体"/>
                <w:sz w:val="18"/>
                <w:szCs w:val="18"/>
              </w:rPr>
              <w:t>0.89%</w:t>
            </w:r>
          </w:p>
        </w:tc>
        <w:tc>
          <w:tcPr>
            <w:tcW w:w="2142" w:type="dxa"/>
            <w:gridSpan w:val="2"/>
            <w:vAlign w:val="center"/>
          </w:tcPr>
          <w:p w14:paraId="31FF7200">
            <w:pPr>
              <w:spacing w:before="0" w:after="0" w:line="240" w:lineRule="exact"/>
              <w:jc w:val="right"/>
              <w:rPr>
                <w:rFonts w:ascii="宋体" w:hAnsi="宋体" w:eastAsia="宋体" w:cs="宋体"/>
                <w:sz w:val="18"/>
                <w:szCs w:val="18"/>
              </w:rPr>
            </w:pPr>
            <w:r>
              <w:rPr>
                <w:rFonts w:ascii="宋体" w:hAnsi="宋体" w:eastAsia="宋体" w:cs="宋体"/>
                <w:sz w:val="18"/>
                <w:szCs w:val="18"/>
              </w:rPr>
              <w:t>1,727,672</w:t>
            </w:r>
          </w:p>
        </w:tc>
        <w:tc>
          <w:tcPr>
            <w:tcW w:w="2142" w:type="dxa"/>
            <w:gridSpan w:val="2"/>
            <w:vAlign w:val="center"/>
          </w:tcPr>
          <w:p w14:paraId="2960CB3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0E08E39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20F168D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DB9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4438F3F5">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1071" w:type="dxa"/>
            <w:vAlign w:val="center"/>
          </w:tcPr>
          <w:p w14:paraId="71636DD4">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vAlign w:val="center"/>
          </w:tcPr>
          <w:p w14:paraId="558F2C40">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2142" w:type="dxa"/>
            <w:gridSpan w:val="2"/>
            <w:vAlign w:val="center"/>
          </w:tcPr>
          <w:p w14:paraId="2353BB0B">
            <w:pPr>
              <w:spacing w:before="0" w:after="0" w:line="240" w:lineRule="exact"/>
              <w:jc w:val="right"/>
              <w:rPr>
                <w:rFonts w:ascii="宋体" w:hAnsi="宋体" w:eastAsia="宋体" w:cs="宋体"/>
                <w:sz w:val="18"/>
                <w:szCs w:val="18"/>
              </w:rPr>
            </w:pPr>
            <w:r>
              <w:rPr>
                <w:rFonts w:ascii="宋体" w:hAnsi="宋体" w:eastAsia="宋体" w:cs="宋体"/>
                <w:sz w:val="18"/>
                <w:szCs w:val="18"/>
              </w:rPr>
              <w:t>1,015,900</w:t>
            </w:r>
          </w:p>
        </w:tc>
        <w:tc>
          <w:tcPr>
            <w:tcW w:w="2142" w:type="dxa"/>
            <w:gridSpan w:val="2"/>
            <w:vAlign w:val="center"/>
          </w:tcPr>
          <w:p w14:paraId="1F28B2A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05628CB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07C630E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503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6DC1897B">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1071" w:type="dxa"/>
            <w:vAlign w:val="center"/>
          </w:tcPr>
          <w:p w14:paraId="5824697C">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vAlign w:val="center"/>
          </w:tcPr>
          <w:p w14:paraId="6679445B">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2142" w:type="dxa"/>
            <w:gridSpan w:val="2"/>
            <w:vAlign w:val="center"/>
          </w:tcPr>
          <w:p w14:paraId="73A64193">
            <w:pPr>
              <w:spacing w:before="0" w:after="0" w:line="240" w:lineRule="exact"/>
              <w:jc w:val="right"/>
              <w:rPr>
                <w:rFonts w:ascii="宋体" w:hAnsi="宋体" w:eastAsia="宋体" w:cs="宋体"/>
                <w:sz w:val="18"/>
                <w:szCs w:val="18"/>
              </w:rPr>
            </w:pPr>
            <w:r>
              <w:rPr>
                <w:rFonts w:ascii="宋体" w:hAnsi="宋体" w:eastAsia="宋体" w:cs="宋体"/>
                <w:sz w:val="18"/>
                <w:szCs w:val="18"/>
              </w:rPr>
              <w:t>930,000</w:t>
            </w:r>
          </w:p>
        </w:tc>
        <w:tc>
          <w:tcPr>
            <w:tcW w:w="2142" w:type="dxa"/>
            <w:gridSpan w:val="2"/>
            <w:vAlign w:val="center"/>
          </w:tcPr>
          <w:p w14:paraId="0136B1E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65EECE4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0C8EE74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DC0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0E43ECE7">
            <w:pPr>
              <w:spacing w:before="0" w:after="0" w:line="240" w:lineRule="exact"/>
              <w:jc w:val="left"/>
              <w:rPr>
                <w:rFonts w:ascii="宋体" w:hAnsi="宋体" w:eastAsia="宋体" w:cs="宋体"/>
                <w:sz w:val="18"/>
                <w:szCs w:val="18"/>
              </w:rPr>
            </w:pPr>
            <w:r>
              <w:rPr>
                <w:rFonts w:ascii="宋体" w:hAnsi="宋体" w:eastAsia="宋体" w:cs="宋体"/>
                <w:sz w:val="18"/>
                <w:szCs w:val="18"/>
              </w:rPr>
              <w:t>孙奥</w:t>
            </w:r>
          </w:p>
        </w:tc>
        <w:tc>
          <w:tcPr>
            <w:tcW w:w="1071" w:type="dxa"/>
            <w:vAlign w:val="center"/>
          </w:tcPr>
          <w:p w14:paraId="571C7256">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vAlign w:val="center"/>
          </w:tcPr>
          <w:p w14:paraId="00799724">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2142" w:type="dxa"/>
            <w:gridSpan w:val="2"/>
            <w:vAlign w:val="center"/>
          </w:tcPr>
          <w:p w14:paraId="211D99E4">
            <w:pPr>
              <w:spacing w:before="0" w:after="0" w:line="240" w:lineRule="exact"/>
              <w:jc w:val="right"/>
              <w:rPr>
                <w:rFonts w:ascii="宋体" w:hAnsi="宋体" w:eastAsia="宋体" w:cs="宋体"/>
                <w:sz w:val="18"/>
                <w:szCs w:val="18"/>
              </w:rPr>
            </w:pPr>
            <w:r>
              <w:rPr>
                <w:rFonts w:ascii="宋体" w:hAnsi="宋体" w:eastAsia="宋体" w:cs="宋体"/>
                <w:sz w:val="18"/>
                <w:szCs w:val="18"/>
              </w:rPr>
              <w:t>791,170</w:t>
            </w:r>
          </w:p>
        </w:tc>
        <w:tc>
          <w:tcPr>
            <w:tcW w:w="2142" w:type="dxa"/>
            <w:gridSpan w:val="2"/>
            <w:vAlign w:val="center"/>
          </w:tcPr>
          <w:p w14:paraId="457077F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69D133D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7C270662">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B9C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64596B91">
            <w:pPr>
              <w:spacing w:before="0" w:after="0" w:line="240" w:lineRule="exact"/>
              <w:jc w:val="left"/>
              <w:rPr>
                <w:rFonts w:ascii="宋体" w:hAnsi="宋体" w:eastAsia="宋体" w:cs="宋体"/>
                <w:sz w:val="18"/>
                <w:szCs w:val="18"/>
              </w:rPr>
            </w:pPr>
            <w:r>
              <w:rPr>
                <w:rFonts w:ascii="宋体" w:hAnsi="宋体" w:eastAsia="宋体" w:cs="宋体"/>
                <w:sz w:val="18"/>
                <w:szCs w:val="18"/>
              </w:rPr>
              <w:t>青岛欧森海事技术服务有限公司</w:t>
            </w:r>
          </w:p>
        </w:tc>
        <w:tc>
          <w:tcPr>
            <w:tcW w:w="1071" w:type="dxa"/>
            <w:vAlign w:val="center"/>
          </w:tcPr>
          <w:p w14:paraId="3E26694E">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vAlign w:val="center"/>
          </w:tcPr>
          <w:p w14:paraId="000CBD86">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2142" w:type="dxa"/>
            <w:gridSpan w:val="2"/>
            <w:vAlign w:val="center"/>
          </w:tcPr>
          <w:p w14:paraId="0D4695B3">
            <w:pPr>
              <w:spacing w:before="0" w:after="0" w:line="240" w:lineRule="exact"/>
              <w:jc w:val="right"/>
              <w:rPr>
                <w:rFonts w:ascii="宋体" w:hAnsi="宋体" w:eastAsia="宋体" w:cs="宋体"/>
                <w:sz w:val="18"/>
                <w:szCs w:val="18"/>
              </w:rPr>
            </w:pPr>
            <w:r>
              <w:rPr>
                <w:rFonts w:ascii="宋体" w:hAnsi="宋体" w:eastAsia="宋体" w:cs="宋体"/>
                <w:sz w:val="18"/>
                <w:szCs w:val="18"/>
              </w:rPr>
              <w:t>774,085</w:t>
            </w:r>
          </w:p>
        </w:tc>
        <w:tc>
          <w:tcPr>
            <w:tcW w:w="2142" w:type="dxa"/>
            <w:gridSpan w:val="2"/>
            <w:vAlign w:val="center"/>
          </w:tcPr>
          <w:p w14:paraId="542991F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48E58808">
            <w:pPr>
              <w:spacing w:before="0" w:after="0" w:line="240" w:lineRule="exact"/>
              <w:jc w:val="left"/>
              <w:rPr>
                <w:rFonts w:ascii="宋体" w:hAnsi="宋体" w:eastAsia="宋体" w:cs="宋体"/>
                <w:sz w:val="18"/>
                <w:szCs w:val="18"/>
              </w:rPr>
            </w:pPr>
            <w:r>
              <w:rPr>
                <w:rFonts w:ascii="宋体" w:hAnsi="宋体" w:eastAsia="宋体" w:cs="宋体"/>
                <w:sz w:val="18"/>
                <w:szCs w:val="18"/>
              </w:rPr>
              <w:t>质押</w:t>
            </w:r>
          </w:p>
        </w:tc>
        <w:tc>
          <w:tcPr>
            <w:tcW w:w="1071" w:type="dxa"/>
            <w:vAlign w:val="center"/>
          </w:tcPr>
          <w:p w14:paraId="09A4A505">
            <w:pPr>
              <w:spacing w:before="0" w:after="0" w:line="240" w:lineRule="exact"/>
              <w:jc w:val="right"/>
              <w:rPr>
                <w:rFonts w:ascii="宋体" w:hAnsi="宋体" w:eastAsia="宋体" w:cs="宋体"/>
                <w:sz w:val="18"/>
                <w:szCs w:val="18"/>
              </w:rPr>
            </w:pPr>
            <w:r>
              <w:rPr>
                <w:rFonts w:ascii="宋体" w:hAnsi="宋体" w:eastAsia="宋体" w:cs="宋体"/>
                <w:sz w:val="18"/>
                <w:szCs w:val="18"/>
              </w:rPr>
              <w:t>773,500</w:t>
            </w:r>
          </w:p>
        </w:tc>
      </w:tr>
      <w:tr w14:paraId="03F4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4DDD600C">
            <w:pPr>
              <w:spacing w:before="0" w:after="0" w:line="240" w:lineRule="exact"/>
              <w:jc w:val="left"/>
              <w:rPr>
                <w:rFonts w:ascii="宋体" w:hAnsi="宋体" w:eastAsia="宋体" w:cs="宋体"/>
                <w:sz w:val="18"/>
                <w:szCs w:val="18"/>
              </w:rPr>
            </w:pPr>
            <w:r>
              <w:rPr>
                <w:rFonts w:ascii="宋体" w:hAnsi="宋体" w:eastAsia="宋体" w:cs="宋体"/>
                <w:sz w:val="18"/>
                <w:szCs w:val="18"/>
              </w:rPr>
              <w:t>山东康桥投资集团有限公司</w:t>
            </w:r>
          </w:p>
        </w:tc>
        <w:tc>
          <w:tcPr>
            <w:tcW w:w="1071" w:type="dxa"/>
            <w:vAlign w:val="center"/>
          </w:tcPr>
          <w:p w14:paraId="7E9AAE9C">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vAlign w:val="center"/>
          </w:tcPr>
          <w:p w14:paraId="46183037">
            <w:pPr>
              <w:spacing w:before="0" w:after="0" w:line="240" w:lineRule="exact"/>
              <w:jc w:val="right"/>
              <w:rPr>
                <w:rFonts w:ascii="宋体" w:hAnsi="宋体" w:eastAsia="宋体" w:cs="宋体"/>
                <w:sz w:val="18"/>
                <w:szCs w:val="18"/>
              </w:rPr>
            </w:pPr>
            <w:r>
              <w:rPr>
                <w:rFonts w:ascii="宋体" w:hAnsi="宋体" w:eastAsia="宋体" w:cs="宋体"/>
                <w:sz w:val="18"/>
                <w:szCs w:val="18"/>
              </w:rPr>
              <w:t>0.38%</w:t>
            </w:r>
          </w:p>
        </w:tc>
        <w:tc>
          <w:tcPr>
            <w:tcW w:w="2142" w:type="dxa"/>
            <w:gridSpan w:val="2"/>
            <w:vAlign w:val="center"/>
          </w:tcPr>
          <w:p w14:paraId="01C9410A">
            <w:pPr>
              <w:spacing w:before="0" w:after="0" w:line="240" w:lineRule="exact"/>
              <w:jc w:val="right"/>
              <w:rPr>
                <w:rFonts w:ascii="宋体" w:hAnsi="宋体" w:eastAsia="宋体" w:cs="宋体"/>
                <w:sz w:val="18"/>
                <w:szCs w:val="18"/>
              </w:rPr>
            </w:pPr>
            <w:r>
              <w:rPr>
                <w:rFonts w:ascii="宋体" w:hAnsi="宋体" w:eastAsia="宋体" w:cs="宋体"/>
                <w:sz w:val="18"/>
                <w:szCs w:val="18"/>
              </w:rPr>
              <w:t>740,153</w:t>
            </w:r>
          </w:p>
        </w:tc>
        <w:tc>
          <w:tcPr>
            <w:tcW w:w="2142" w:type="dxa"/>
            <w:gridSpan w:val="2"/>
            <w:vAlign w:val="center"/>
          </w:tcPr>
          <w:p w14:paraId="0613976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4A4C853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53E8F1A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6A5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71" w:type="dxa"/>
            <w:vAlign w:val="center"/>
          </w:tcPr>
          <w:p w14:paraId="259C5794">
            <w:pPr>
              <w:spacing w:before="0" w:after="0" w:line="240" w:lineRule="exact"/>
              <w:jc w:val="left"/>
              <w:rPr>
                <w:rFonts w:ascii="宋体" w:hAnsi="宋体" w:eastAsia="宋体" w:cs="宋体"/>
                <w:sz w:val="18"/>
                <w:szCs w:val="18"/>
              </w:rPr>
            </w:pPr>
            <w:r>
              <w:rPr>
                <w:rFonts w:ascii="宋体" w:hAnsi="宋体" w:eastAsia="宋体" w:cs="宋体"/>
                <w:sz w:val="18"/>
                <w:szCs w:val="18"/>
              </w:rPr>
              <w:t>王红梅</w:t>
            </w:r>
          </w:p>
        </w:tc>
        <w:tc>
          <w:tcPr>
            <w:tcW w:w="1071" w:type="dxa"/>
            <w:vAlign w:val="center"/>
          </w:tcPr>
          <w:p w14:paraId="089659FB">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vAlign w:val="center"/>
          </w:tcPr>
          <w:p w14:paraId="129DD082">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c>
          <w:tcPr>
            <w:tcW w:w="2142" w:type="dxa"/>
            <w:gridSpan w:val="2"/>
            <w:vAlign w:val="center"/>
          </w:tcPr>
          <w:p w14:paraId="4D5B8A80">
            <w:pPr>
              <w:spacing w:before="0" w:after="0" w:line="240" w:lineRule="exact"/>
              <w:jc w:val="right"/>
              <w:rPr>
                <w:rFonts w:ascii="宋体" w:hAnsi="宋体" w:eastAsia="宋体" w:cs="宋体"/>
                <w:sz w:val="18"/>
                <w:szCs w:val="18"/>
              </w:rPr>
            </w:pPr>
            <w:r>
              <w:rPr>
                <w:rFonts w:ascii="宋体" w:hAnsi="宋体" w:eastAsia="宋体" w:cs="宋体"/>
                <w:sz w:val="18"/>
                <w:szCs w:val="18"/>
              </w:rPr>
              <w:t>659,100</w:t>
            </w:r>
          </w:p>
        </w:tc>
        <w:tc>
          <w:tcPr>
            <w:tcW w:w="2142" w:type="dxa"/>
            <w:gridSpan w:val="2"/>
            <w:vAlign w:val="center"/>
          </w:tcPr>
          <w:p w14:paraId="76E1606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vAlign w:val="center"/>
          </w:tcPr>
          <w:p w14:paraId="68E858B5">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vAlign w:val="center"/>
          </w:tcPr>
          <w:p w14:paraId="1D140B1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73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42" w:type="dxa"/>
            <w:gridSpan w:val="2"/>
            <w:shd w:val="clear" w:color="auto" w:fill="D3D3D3"/>
            <w:vAlign w:val="center"/>
          </w:tcPr>
          <w:p w14:paraId="5AD04195">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vAlign w:val="center"/>
          </w:tcPr>
          <w:p w14:paraId="608BEF33">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青岛华通国有资本投资运营集团有限公司系公司控股股东、实际控制人，持有公司46.74%的股份。除此之外，公司未知上述其他股东之间是否存在关联关系，是否属于一致行动人。</w:t>
            </w:r>
          </w:p>
        </w:tc>
      </w:tr>
      <w:tr w14:paraId="7070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42" w:type="dxa"/>
            <w:gridSpan w:val="2"/>
            <w:shd w:val="clear" w:color="auto" w:fill="D3D3D3"/>
            <w:vAlign w:val="center"/>
          </w:tcPr>
          <w:p w14:paraId="5B400368">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参与融资融券业务股东情况说明（如有）</w:t>
            </w:r>
          </w:p>
        </w:tc>
        <w:tc>
          <w:tcPr>
            <w:tcW w:w="7497" w:type="dxa"/>
            <w:gridSpan w:val="7"/>
            <w:vAlign w:val="center"/>
          </w:tcPr>
          <w:p w14:paraId="6CC5E049">
            <w:pPr>
              <w:spacing w:before="0" w:after="0" w:line="240" w:lineRule="exact"/>
              <w:jc w:val="left"/>
              <w:rPr>
                <w:rFonts w:ascii="宋体" w:hAnsi="宋体" w:eastAsia="宋体" w:cs="宋体"/>
                <w:sz w:val="18"/>
                <w:szCs w:val="18"/>
              </w:rPr>
            </w:pPr>
            <w:r>
              <w:rPr>
                <w:rFonts w:ascii="宋体" w:hAnsi="宋体" w:eastAsia="宋体" w:cs="宋体"/>
                <w:sz w:val="18"/>
                <w:szCs w:val="18"/>
              </w:rPr>
              <w:t>刘英通过普通证券账户持有515,900股，通过信用交易担保证券账户持有500,000股。</w:t>
            </w:r>
          </w:p>
        </w:tc>
      </w:tr>
    </w:tbl>
    <w:p w14:paraId="281241EB">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76548532">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8DFF042">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437120C7">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825F6B">
      <w:pPr>
        <w:keepNext/>
        <w:keepLines/>
        <w:spacing w:before="300" w:after="300" w:line="280" w:lineRule="exact"/>
        <w:jc w:val="left"/>
        <w:outlineLvl w:val="3"/>
        <w:rPr>
          <w:rFonts w:ascii="宋体" w:hAnsi="宋体" w:eastAsia="宋体" w:cs="宋体"/>
          <w:b/>
          <w:bCs/>
          <w:sz w:val="18"/>
          <w:szCs w:val="18"/>
        </w:rPr>
      </w:pPr>
      <w:bookmarkStart w:id="9" w:name="_Toc988898"/>
      <w:r>
        <w:rPr>
          <w:rFonts w:ascii="宋体" w:hAnsi="宋体" w:eastAsia="宋体" w:cs="宋体"/>
          <w:b/>
          <w:bCs/>
          <w:sz w:val="18"/>
          <w:szCs w:val="18"/>
        </w:rPr>
        <w:t>（2）公司优先股股东总数及前10名优先股股东持股情况表</w:t>
      </w:r>
      <w:bookmarkEnd w:id="9"/>
    </w:p>
    <w:p w14:paraId="1EB146AC">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80AC76A">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公司报告期无优先股股东持股情况。</w:t>
      </w:r>
    </w:p>
    <w:p w14:paraId="7C1C6AD7">
      <w:pPr>
        <w:keepNext/>
        <w:keepLines/>
        <w:spacing w:before="300" w:after="300" w:line="280" w:lineRule="exact"/>
        <w:jc w:val="left"/>
        <w:outlineLvl w:val="3"/>
        <w:rPr>
          <w:rFonts w:ascii="宋体" w:hAnsi="宋体" w:eastAsia="宋体" w:cs="宋体"/>
          <w:b/>
          <w:bCs/>
          <w:sz w:val="18"/>
          <w:szCs w:val="18"/>
        </w:rPr>
      </w:pPr>
      <w:bookmarkStart w:id="10" w:name="_Toc988899"/>
      <w:r>
        <w:rPr>
          <w:rFonts w:ascii="宋体" w:hAnsi="宋体" w:eastAsia="宋体" w:cs="宋体"/>
          <w:b/>
          <w:bCs/>
          <w:sz w:val="18"/>
          <w:szCs w:val="18"/>
        </w:rPr>
        <w:t>（3）以方框图形式披露公司与实际控制人之间的产权及控制关系</w:t>
      </w:r>
      <w:bookmarkEnd w:id="10"/>
    </w:p>
    <w:p w14:paraId="5EF91704">
      <w:pPr>
        <w:spacing w:before="40" w:after="4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4200525" cy="230060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4200525" cy="2300605"/>
                    </a:xfrm>
                    <a:prstGeom prst="rect">
                      <a:avLst/>
                    </a:prstGeom>
                  </pic:spPr>
                </pic:pic>
              </a:graphicData>
            </a:graphic>
          </wp:inline>
        </w:drawing>
      </w:r>
    </w:p>
    <w:p w14:paraId="4204ECE1">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5、在年度报告批准报出日存续的债券情况</w:t>
      </w:r>
      <w:bookmarkEnd w:id="11"/>
    </w:p>
    <w:p w14:paraId="5CD059E1">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8799708">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三、重要事项</w:t>
      </w:r>
      <w:bookmarkEnd w:id="12"/>
    </w:p>
    <w:p w14:paraId="2B5932C9">
      <w:pPr>
        <w:pStyle w:val="2"/>
        <w:keepNext w:val="0"/>
        <w:keepLines w:val="0"/>
        <w:widowControl/>
        <w:suppressLineNumbers w:val="0"/>
        <w:rPr>
          <w:rFonts w:hint="eastAsia" w:ascii="宋体" w:hAnsi="宋体" w:eastAsia="宋体" w:cs="宋体"/>
          <w:sz w:val="18"/>
          <w:szCs w:val="18"/>
        </w:rPr>
      </w:pPr>
      <w:r>
        <w:rPr>
          <w:rFonts w:hint="eastAsia" w:ascii="宋体" w:hAnsi="宋体" w:eastAsia="宋体" w:cs="宋体"/>
          <w:sz w:val="18"/>
          <w:szCs w:val="18"/>
        </w:rPr>
        <w:t>无。</w:t>
      </w:r>
    </w:p>
    <w:p w14:paraId="6894FB1B">
      <w:pPr>
        <w:pStyle w:val="2"/>
        <w:keepNext w:val="0"/>
        <w:keepLines w:val="0"/>
        <w:widowControl/>
        <w:suppressLineNumbers w:val="0"/>
        <w:rPr>
          <w:rFonts w:hint="eastAsia" w:ascii="宋体" w:hAnsi="宋体" w:eastAsia="宋体" w:cs="宋体"/>
          <w:sz w:val="18"/>
          <w:szCs w:val="18"/>
        </w:rPr>
      </w:pPr>
    </w:p>
    <w:p w14:paraId="3425415C">
      <w:pPr>
        <w:pStyle w:val="2"/>
        <w:keepNext w:val="0"/>
        <w:keepLines w:val="0"/>
        <w:widowControl/>
        <w:suppressLineNumbers w:val="0"/>
        <w:rPr>
          <w:rFonts w:hint="eastAsia" w:ascii="宋体" w:hAnsi="宋体" w:eastAsia="宋体" w:cs="宋体"/>
          <w:sz w:val="18"/>
          <w:szCs w:val="18"/>
        </w:rPr>
      </w:pPr>
    </w:p>
    <w:p w14:paraId="51DD5EA6">
      <w:pPr>
        <w:keepNext w:val="0"/>
        <w:keepLines w:val="0"/>
        <w:pageBreakBefore w:val="0"/>
        <w:widowControl w:val="0"/>
        <w:kinsoku/>
        <w:wordWrap/>
        <w:overflowPunct/>
        <w:topLinePunct w:val="0"/>
        <w:autoSpaceDE/>
        <w:autoSpaceDN/>
        <w:bidi w:val="0"/>
        <w:adjustRightInd/>
        <w:snapToGrid/>
        <w:spacing w:before="100" w:after="100" w:line="24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青岛食品股份有限公司</w:t>
      </w:r>
    </w:p>
    <w:p w14:paraId="41C6832F">
      <w:pPr>
        <w:keepNext w:val="0"/>
        <w:keepLines w:val="0"/>
        <w:pageBreakBefore w:val="0"/>
        <w:widowControl w:val="0"/>
        <w:kinsoku/>
        <w:wordWrap/>
        <w:overflowPunct/>
        <w:topLinePunct w:val="0"/>
        <w:autoSpaceDE/>
        <w:autoSpaceDN/>
        <w:bidi w:val="0"/>
        <w:adjustRightInd/>
        <w:snapToGrid/>
        <w:spacing w:before="100" w:after="100" w:line="240" w:lineRule="auto"/>
        <w:jc w:val="right"/>
        <w:textAlignment w:val="auto"/>
        <w:rPr>
          <w:rFonts w:hint="eastAsia" w:ascii="宋体" w:hAnsi="宋体" w:eastAsia="宋体" w:cs="宋体"/>
          <w:sz w:val="21"/>
          <w:szCs w:val="21"/>
          <w:lang w:val="en-US" w:eastAsia="zh-CN"/>
        </w:rPr>
      </w:pPr>
      <w:bookmarkStart w:id="13" w:name="_GoBack"/>
      <w:bookmarkEnd w:id="13"/>
      <w:r>
        <w:rPr>
          <w:rFonts w:hint="eastAsia" w:ascii="宋体" w:hAnsi="宋体" w:eastAsia="宋体" w:cs="宋体"/>
          <w:sz w:val="21"/>
          <w:szCs w:val="21"/>
          <w:lang w:val="en-US" w:eastAsia="zh-CN"/>
        </w:rPr>
        <w:t>董事会</w:t>
      </w:r>
    </w:p>
    <w:p w14:paraId="10C4DB0E">
      <w:pPr>
        <w:keepNext w:val="0"/>
        <w:keepLines w:val="0"/>
        <w:pageBreakBefore w:val="0"/>
        <w:widowControl w:val="0"/>
        <w:kinsoku/>
        <w:wordWrap/>
        <w:overflowPunct/>
        <w:topLinePunct w:val="0"/>
        <w:autoSpaceDE/>
        <w:autoSpaceDN/>
        <w:bidi w:val="0"/>
        <w:adjustRightInd/>
        <w:snapToGrid/>
        <w:spacing w:before="100" w:after="100" w:line="240" w:lineRule="auto"/>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2025年4月17日</w:t>
      </w:r>
    </w:p>
    <w:sectPr>
      <w:headerReference r:id="rId3" w:type="default"/>
      <w:footerReference r:id="rId4" w:type="default"/>
      <w:pgSz w:w="11905" w:h="16840"/>
      <w:pgMar w:top="850" w:right="1134" w:bottom="85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5CB4">
    <w:pPr>
      <w:jc w:val="center"/>
    </w:pPr>
    <w:r>
      <w:rPr>
        <w:rFonts w:ascii="仿宋" w:eastAsia="仿宋"/>
        <w:sz w:val="21"/>
        <w:szCs w:val="21"/>
      </w:rPr>
      <w:fldChar w:fldCharType="begin"/>
    </w:r>
    <w:r>
      <w:rPr>
        <w:rFonts w:ascii="仿宋" w:eastAsia="仿宋"/>
        <w:sz w:val="21"/>
        <w:szCs w:val="21"/>
      </w:rPr>
      <w:instrText xml:space="preserve">PAGE   \* MERGEFORMAT</w:instrText>
    </w:r>
    <w:r>
      <w:rPr>
        <w:rFonts w:ascii="仿宋" w:eastAsia="仿宋"/>
        <w:sz w:val="21"/>
        <w:szCs w:val="21"/>
      </w:rPr>
      <w:fldChar w:fldCharType="separate"/>
    </w:r>
    <w:r>
      <w:rPr>
        <w:rFonts w:ascii="仿宋" w:eastAsia="仿宋"/>
        <w:sz w:val="21"/>
        <w:szCs w:val="21"/>
      </w:rPr>
      <w:t>1</w:t>
    </w:r>
    <w:r>
      <w:rPr>
        <w:rFonts w:ascii="仿宋" w:eastAsia="仿宋"/>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D739F">
    <w:pPr>
      <w:pBdr>
        <w:bottom w:val="single" w:color="auto" w:sz="6" w:space="1"/>
      </w:pBdr>
      <w:jc w:val="right"/>
    </w:pPr>
    <w:r>
      <w:rPr>
        <w:rFonts w:ascii="宋体" w:eastAsia="宋体"/>
        <w:sz w:val="18"/>
        <w:szCs w:val="18"/>
      </w:rPr>
      <w:drawing>
        <wp:anchor distT="0" distB="0" distL="114300" distR="114300" simplePos="0" relativeHeight="251659264" behindDoc="0" locked="0" layoutInCell="1" allowOverlap="1">
          <wp:simplePos x="0" y="0"/>
          <wp:positionH relativeFrom="column">
            <wp:posOffset>-89535</wp:posOffset>
          </wp:positionH>
          <wp:positionV relativeFrom="paragraph">
            <wp:posOffset>-590550</wp:posOffset>
          </wp:positionV>
          <wp:extent cx="846455" cy="846455"/>
          <wp:effectExtent l="0" t="0" r="0" b="0"/>
          <wp:wrapNone/>
          <wp:docPr id="2" name="图片 2"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201160657"/>
                  <pic:cNvPicPr>
                    <a:picLocks noChangeAspect="1"/>
                  </pic:cNvPicPr>
                </pic:nvPicPr>
                <pic:blipFill>
                  <a:blip r:embed="rId1"/>
                  <a:stretch>
                    <a:fillRect/>
                  </a:stretch>
                </pic:blipFill>
                <pic:spPr>
                  <a:xfrm>
                    <a:off x="0" y="0"/>
                    <a:ext cx="846455" cy="846455"/>
                  </a:xfrm>
                  <a:prstGeom prst="rect">
                    <a:avLst/>
                  </a:prstGeom>
                </pic:spPr>
              </pic:pic>
            </a:graphicData>
          </a:graphic>
        </wp:anchor>
      </w:drawing>
    </w:r>
    <w:r>
      <w:rPr>
        <w:rFonts w:ascii="宋体" w:eastAsia="宋体"/>
        <w:sz w:val="18"/>
        <w:szCs w:val="18"/>
      </w:rPr>
      <w:t>青岛食品股份有限公司2024年年度报告摘要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E8B0806"/>
    <w:rsid w:val="69AA6FAA"/>
    <w:rsid w:val="75A735CA"/>
    <w:rsid w:val="79D5460B"/>
    <w:rsid w:val="7F9B5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1809</Words>
  <Characters>2606</Characters>
  <TotalTime>9</TotalTime>
  <ScaleCrop>false</ScaleCrop>
  <LinksUpToDate>false</LinksUpToDate>
  <CharactersWithSpaces>2667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2025-04-13T07:32:00Z</dcterms:created>
  <dc:creator>Administrator.USER-20191202VK</dc:creator>
  <cp:lastModifiedBy>李春宏</cp:lastModifiedBy>
  <cp:lastPrinted>2025-04-15T09:44:58Z</cp:lastPrinted>
  <dcterms:modified xsi:type="dcterms:W3CDTF">2025-04-15T09:53:21Z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eyJoZGlkIjoiMzE2MWM4NGI3Zjc4YmM2NmMwMDA5N2UzMzkwMGYwZGQiLCJ1c2VySWQiOiIxNTc0NzMxNDQ4In0=</vt:lpwstr>
  </property>
  <property fmtid="{D5CDD505-2E9C-101B-9397-08002B2CF9AE}" pid="3" name="KSOProductBuildVer">
    <vt:lpwstr>2052-12.1.0.19302</vt:lpwstr>
  </property>
  <property fmtid="{D5CDD505-2E9C-101B-9397-08002B2CF9AE}" pid="4" name="ICV">
    <vt:lpwstr>31FDF48594AD42FA9397B32B73EBD02C_12</vt:lpwstr>
  </property>
</Properties>
</file>