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71F3DC">
      <w:pPr>
        <w:spacing w:before="200" w:after="1000" w:line="560" w:lineRule="exact"/>
        <w:jc w:val="center"/>
        <w:rPr>
          <w:rFonts w:hint="default" w:ascii="宋体" w:hAnsi="宋体" w:eastAsia="宋体" w:cs="宋体"/>
          <w:sz w:val="21"/>
          <w:szCs w:val="21"/>
          <w:lang w:val="en-US" w:eastAsia="zh-CN"/>
        </w:rPr>
      </w:pPr>
      <w:r>
        <w:rPr>
          <w:rFonts w:ascii="宋体" w:hAnsi="宋体" w:eastAsia="宋体" w:cs="宋体"/>
          <w:sz w:val="21"/>
          <w:szCs w:val="21"/>
        </w:rPr>
        <w:t>证券代码：001219                   证券简称：青岛食品                   公告编号：</w:t>
      </w:r>
      <w:r>
        <w:rPr>
          <w:rFonts w:hint="eastAsia" w:ascii="宋体" w:hAnsi="宋体" w:eastAsia="宋体" w:cs="宋体"/>
          <w:sz w:val="21"/>
          <w:szCs w:val="21"/>
          <w:lang w:val="en-US" w:eastAsia="zh-CN"/>
        </w:rPr>
        <w:t>2025-025</w:t>
      </w:r>
    </w:p>
    <w:p w14:paraId="6D32928C">
      <w:pPr>
        <w:spacing w:before="200" w:after="200" w:line="400" w:lineRule="exact"/>
        <w:jc w:val="center"/>
        <w:rPr>
          <w:rFonts w:ascii="宋体" w:hAnsi="宋体" w:eastAsia="宋体" w:cs="宋体"/>
          <w:b/>
          <w:bCs/>
          <w:sz w:val="32"/>
          <w:szCs w:val="32"/>
        </w:rPr>
      </w:pPr>
      <w:r>
        <w:rPr>
          <w:rFonts w:ascii="宋体" w:hAnsi="宋体" w:eastAsia="宋体" w:cs="宋体"/>
          <w:b/>
          <w:bCs/>
          <w:sz w:val="32"/>
          <w:szCs w:val="32"/>
        </w:rPr>
        <w:t>青岛食品股份有限公司</w:t>
      </w:r>
    </w:p>
    <w:p w14:paraId="62B8A6F5">
      <w:pPr>
        <w:spacing w:before="200" w:after="200" w:line="400" w:lineRule="exact"/>
        <w:jc w:val="center"/>
        <w:rPr>
          <w:rFonts w:ascii="宋体" w:hAnsi="宋体" w:eastAsia="宋体" w:cs="宋体"/>
          <w:b/>
          <w:bCs/>
          <w:sz w:val="32"/>
          <w:szCs w:val="32"/>
        </w:rPr>
      </w:pPr>
      <w:r>
        <w:rPr>
          <w:rFonts w:ascii="宋体" w:hAnsi="宋体" w:eastAsia="宋体" w:cs="宋体"/>
          <w:b/>
          <w:bCs/>
          <w:sz w:val="32"/>
          <w:szCs w:val="32"/>
        </w:rPr>
        <w:t>2025年第一季度报告</w:t>
      </w:r>
    </w:p>
    <w:p w14:paraId="7EB41860">
      <w:pPr>
        <w:pBdr>
          <w:top w:val="single" w:color="auto" w:sz="4" w:space="1"/>
          <w:left w:val="single" w:color="auto" w:sz="4" w:space="4"/>
          <w:bottom w:val="single" w:color="auto" w:sz="4" w:space="1"/>
          <w:right w:val="single" w:color="auto" w:sz="4" w:space="4"/>
        </w:pBdr>
        <w:spacing w:before="100" w:after="100" w:line="400" w:lineRule="exact"/>
        <w:ind w:firstLine="360" w:firstLineChars="200"/>
        <w:jc w:val="left"/>
        <w:rPr>
          <w:rFonts w:ascii="宋体" w:hAnsi="宋体" w:eastAsia="宋体" w:cs="宋体"/>
          <w:sz w:val="18"/>
          <w:szCs w:val="18"/>
        </w:rPr>
      </w:pPr>
      <w:r>
        <w:rPr>
          <w:rFonts w:ascii="宋体" w:hAnsi="宋体" w:eastAsia="宋体" w:cs="宋体"/>
          <w:sz w:val="18"/>
          <w:szCs w:val="18"/>
        </w:rPr>
        <w:t>本公司及董事会全体成员保证信息披露的内容真实、准确、完整，没有虚假记载、误导性陈述或重大遗漏。</w:t>
      </w:r>
    </w:p>
    <w:p w14:paraId="7801C2FF">
      <w:pPr>
        <w:spacing w:before="40" w:after="40" w:line="420" w:lineRule="exact"/>
        <w:jc w:val="left"/>
        <w:rPr>
          <w:rFonts w:ascii="宋体" w:hAnsi="宋体" w:eastAsia="宋体" w:cs="宋体"/>
          <w:b/>
          <w:bCs/>
          <w:sz w:val="24"/>
          <w:szCs w:val="24"/>
        </w:rPr>
      </w:pPr>
      <w:r>
        <w:rPr>
          <w:rFonts w:ascii="宋体" w:hAnsi="宋体" w:eastAsia="宋体" w:cs="宋体"/>
          <w:b/>
          <w:bCs/>
          <w:sz w:val="24"/>
          <w:szCs w:val="24"/>
        </w:rPr>
        <w:t>重要内容提示：</w:t>
      </w:r>
    </w:p>
    <w:p w14:paraId="153E49C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eastAsia="宋体" w:cs="宋体"/>
          <w:sz w:val="18"/>
          <w:szCs w:val="18"/>
        </w:rPr>
      </w:pPr>
      <w:r>
        <w:rPr>
          <w:rFonts w:ascii="宋体" w:hAnsi="宋体" w:eastAsia="宋体" w:cs="宋体"/>
          <w:sz w:val="18"/>
          <w:szCs w:val="18"/>
        </w:rPr>
        <w:t>1.董事会、监事会及董事、监事、高级管理人员保证季度报告的真实、准确、完整，不存在虚假记载、误导性陈述或重大遗漏，并承担个别和连带的法律责任。</w:t>
      </w:r>
    </w:p>
    <w:p w14:paraId="5B141E7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eastAsia="宋体" w:cs="宋体"/>
          <w:sz w:val="18"/>
          <w:szCs w:val="18"/>
        </w:rPr>
      </w:pPr>
      <w:r>
        <w:rPr>
          <w:rFonts w:ascii="宋体" w:hAnsi="宋体" w:eastAsia="宋体" w:cs="宋体"/>
          <w:sz w:val="18"/>
          <w:szCs w:val="18"/>
        </w:rPr>
        <w:t>2.公司负责人、主管会计工作负责人及会计机构负责人(会计主管人员)声明：保证季度报告中财务信息的真实、准确、完整。</w:t>
      </w:r>
    </w:p>
    <w:p w14:paraId="5B652AE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eastAsia="宋体" w:cs="宋体"/>
          <w:sz w:val="18"/>
          <w:szCs w:val="18"/>
        </w:rPr>
      </w:pPr>
      <w:r>
        <w:rPr>
          <w:rFonts w:ascii="宋体" w:hAnsi="宋体" w:eastAsia="宋体" w:cs="宋体"/>
          <w:sz w:val="18"/>
          <w:szCs w:val="18"/>
        </w:rPr>
        <w:t>3.第一季度报告是否经审计</w:t>
      </w:r>
    </w:p>
    <w:p w14:paraId="187F316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14:paraId="5C294174">
      <w:pPr>
        <w:keepNext/>
        <w:keepLines/>
        <w:spacing w:before="300" w:after="300" w:line="320" w:lineRule="exact"/>
        <w:jc w:val="left"/>
        <w:outlineLvl w:val="0"/>
        <w:rPr>
          <w:rFonts w:ascii="宋体" w:hAnsi="宋体" w:eastAsia="宋体" w:cs="宋体"/>
          <w:b/>
          <w:bCs/>
          <w:sz w:val="24"/>
          <w:szCs w:val="24"/>
        </w:rPr>
      </w:pPr>
      <w:bookmarkStart w:id="0" w:name="_Toc988889"/>
      <w:r>
        <w:rPr>
          <w:rFonts w:ascii="宋体" w:hAnsi="宋体" w:eastAsia="宋体" w:cs="宋体"/>
          <w:b/>
          <w:bCs/>
          <w:sz w:val="24"/>
          <w:szCs w:val="24"/>
        </w:rPr>
        <w:t>一、主要财务数据</w:t>
      </w:r>
      <w:bookmarkEnd w:id="0"/>
    </w:p>
    <w:p w14:paraId="162BE91A">
      <w:pPr>
        <w:keepNext/>
        <w:keepLines/>
        <w:spacing w:before="300" w:after="300" w:line="280" w:lineRule="exact"/>
        <w:jc w:val="left"/>
        <w:outlineLvl w:val="1"/>
        <w:rPr>
          <w:rFonts w:ascii="宋体" w:hAnsi="宋体" w:eastAsia="宋体" w:cs="宋体"/>
          <w:b/>
          <w:bCs/>
          <w:sz w:val="21"/>
          <w:szCs w:val="21"/>
        </w:rPr>
      </w:pPr>
      <w:bookmarkStart w:id="1" w:name="_Toc988890"/>
      <w:r>
        <w:rPr>
          <w:rFonts w:ascii="宋体" w:hAnsi="宋体" w:eastAsia="宋体" w:cs="宋体"/>
          <w:b/>
          <w:bCs/>
          <w:sz w:val="21"/>
          <w:szCs w:val="21"/>
        </w:rPr>
        <w:t>（一）主要会计数据和财务指标</w:t>
      </w:r>
      <w:bookmarkEnd w:id="1"/>
    </w:p>
    <w:p w14:paraId="3D28221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eastAsia="宋体" w:cs="宋体"/>
          <w:sz w:val="18"/>
          <w:szCs w:val="18"/>
        </w:rPr>
      </w:pPr>
      <w:r>
        <w:rPr>
          <w:rFonts w:ascii="宋体" w:hAnsi="宋体" w:eastAsia="宋体" w:cs="宋体"/>
          <w:sz w:val="18"/>
          <w:szCs w:val="18"/>
        </w:rPr>
        <w:t>公司是否需追溯调整或重述以前年度会计数据</w:t>
      </w:r>
    </w:p>
    <w:p w14:paraId="522DFDF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tbl>
      <w:tblPr>
        <w:tblStyle w:val="3"/>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10"/>
        <w:gridCol w:w="1920"/>
        <w:gridCol w:w="1849"/>
        <w:gridCol w:w="2462"/>
      </w:tblGrid>
      <w:tr w14:paraId="4918C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33" w:type="pct"/>
            <w:shd w:val="clear" w:color="auto" w:fill="D3D3D3"/>
            <w:vAlign w:val="center"/>
          </w:tcPr>
          <w:p w14:paraId="4F3582A9"/>
        </w:tc>
        <w:tc>
          <w:tcPr>
            <w:tcW w:w="975" w:type="pct"/>
            <w:shd w:val="clear" w:color="auto" w:fill="D3D3D3"/>
            <w:vAlign w:val="center"/>
          </w:tcPr>
          <w:p w14:paraId="502C31CA">
            <w:pPr>
              <w:spacing w:before="0" w:after="0" w:line="240" w:lineRule="exact"/>
              <w:jc w:val="center"/>
              <w:rPr>
                <w:rFonts w:ascii="宋体" w:hAnsi="宋体" w:eastAsia="宋体" w:cs="宋体"/>
                <w:sz w:val="18"/>
                <w:szCs w:val="18"/>
              </w:rPr>
            </w:pPr>
            <w:r>
              <w:rPr>
                <w:rFonts w:ascii="宋体" w:hAnsi="宋体" w:eastAsia="宋体" w:cs="宋体"/>
                <w:sz w:val="18"/>
                <w:szCs w:val="18"/>
              </w:rPr>
              <w:t>本报告期</w:t>
            </w:r>
          </w:p>
        </w:tc>
        <w:tc>
          <w:tcPr>
            <w:tcW w:w="939" w:type="pct"/>
            <w:shd w:val="clear" w:color="auto" w:fill="D3D3D3"/>
            <w:vAlign w:val="center"/>
          </w:tcPr>
          <w:p w14:paraId="3163B1BB">
            <w:pPr>
              <w:spacing w:before="0" w:after="0" w:line="240" w:lineRule="exact"/>
              <w:jc w:val="center"/>
              <w:rPr>
                <w:rFonts w:ascii="宋体" w:hAnsi="宋体" w:eastAsia="宋体" w:cs="宋体"/>
                <w:sz w:val="18"/>
                <w:szCs w:val="18"/>
              </w:rPr>
            </w:pPr>
            <w:r>
              <w:rPr>
                <w:rFonts w:ascii="宋体" w:hAnsi="宋体" w:eastAsia="宋体" w:cs="宋体"/>
                <w:sz w:val="18"/>
                <w:szCs w:val="18"/>
              </w:rPr>
              <w:t>上年同期</w:t>
            </w:r>
          </w:p>
        </w:tc>
        <w:tc>
          <w:tcPr>
            <w:tcW w:w="1250" w:type="pct"/>
            <w:shd w:val="clear" w:color="auto" w:fill="D3D3D3"/>
            <w:vAlign w:val="center"/>
          </w:tcPr>
          <w:p w14:paraId="190A4C92">
            <w:pPr>
              <w:spacing w:before="0" w:after="0" w:line="240" w:lineRule="exact"/>
              <w:jc w:val="center"/>
              <w:rPr>
                <w:rFonts w:ascii="宋体" w:hAnsi="宋体" w:eastAsia="宋体" w:cs="宋体"/>
                <w:sz w:val="18"/>
                <w:szCs w:val="18"/>
              </w:rPr>
            </w:pPr>
            <w:r>
              <w:rPr>
                <w:rFonts w:ascii="宋体" w:hAnsi="宋体" w:eastAsia="宋体" w:cs="宋体"/>
                <w:sz w:val="18"/>
                <w:szCs w:val="18"/>
              </w:rPr>
              <w:t>本报告期比上年同期增减（%）</w:t>
            </w:r>
          </w:p>
        </w:tc>
      </w:tr>
      <w:tr w14:paraId="72952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33" w:type="pct"/>
            <w:shd w:val="clear" w:color="auto" w:fill="D3D3D3"/>
            <w:vAlign w:val="center"/>
          </w:tcPr>
          <w:p w14:paraId="5C09CA19">
            <w:pPr>
              <w:spacing w:before="0" w:after="0" w:line="240" w:lineRule="exact"/>
              <w:jc w:val="left"/>
              <w:rPr>
                <w:rFonts w:ascii="宋体" w:hAnsi="宋体" w:eastAsia="宋体" w:cs="宋体"/>
                <w:sz w:val="18"/>
                <w:szCs w:val="18"/>
              </w:rPr>
            </w:pPr>
            <w:r>
              <w:rPr>
                <w:rFonts w:ascii="宋体" w:hAnsi="宋体" w:eastAsia="宋体" w:cs="宋体"/>
                <w:sz w:val="18"/>
                <w:szCs w:val="18"/>
              </w:rPr>
              <w:t>营业收入（元）</w:t>
            </w:r>
          </w:p>
        </w:tc>
        <w:tc>
          <w:tcPr>
            <w:tcW w:w="975" w:type="pct"/>
            <w:vAlign w:val="center"/>
          </w:tcPr>
          <w:p w14:paraId="49697550">
            <w:pPr>
              <w:spacing w:before="0" w:after="0" w:line="240" w:lineRule="exact"/>
              <w:jc w:val="right"/>
              <w:rPr>
                <w:rFonts w:ascii="宋体" w:hAnsi="宋体" w:eastAsia="宋体" w:cs="宋体"/>
                <w:sz w:val="18"/>
                <w:szCs w:val="18"/>
              </w:rPr>
            </w:pPr>
            <w:r>
              <w:rPr>
                <w:rFonts w:ascii="宋体" w:hAnsi="宋体" w:eastAsia="宋体" w:cs="宋体"/>
                <w:sz w:val="18"/>
                <w:szCs w:val="18"/>
              </w:rPr>
              <w:t>134,818,291.90</w:t>
            </w:r>
          </w:p>
        </w:tc>
        <w:tc>
          <w:tcPr>
            <w:tcW w:w="939" w:type="pct"/>
            <w:vAlign w:val="center"/>
          </w:tcPr>
          <w:p w14:paraId="0057694D">
            <w:pPr>
              <w:spacing w:before="0" w:after="0" w:line="240" w:lineRule="exact"/>
              <w:jc w:val="right"/>
              <w:rPr>
                <w:rFonts w:ascii="宋体" w:hAnsi="宋体" w:eastAsia="宋体" w:cs="宋体"/>
                <w:sz w:val="18"/>
                <w:szCs w:val="18"/>
              </w:rPr>
            </w:pPr>
            <w:r>
              <w:rPr>
                <w:rFonts w:ascii="宋体" w:hAnsi="宋体" w:eastAsia="宋体" w:cs="宋体"/>
                <w:sz w:val="18"/>
                <w:szCs w:val="18"/>
              </w:rPr>
              <w:t>131,932,438.14</w:t>
            </w:r>
          </w:p>
        </w:tc>
        <w:tc>
          <w:tcPr>
            <w:tcW w:w="1250" w:type="pct"/>
            <w:vAlign w:val="center"/>
          </w:tcPr>
          <w:p w14:paraId="60271D01">
            <w:pPr>
              <w:spacing w:before="0" w:after="0" w:line="240" w:lineRule="exact"/>
              <w:jc w:val="right"/>
              <w:rPr>
                <w:rFonts w:ascii="宋体" w:hAnsi="宋体" w:eastAsia="宋体" w:cs="宋体"/>
                <w:sz w:val="18"/>
                <w:szCs w:val="18"/>
              </w:rPr>
            </w:pPr>
            <w:r>
              <w:rPr>
                <w:rFonts w:ascii="宋体" w:hAnsi="宋体" w:eastAsia="宋体" w:cs="宋体"/>
                <w:sz w:val="18"/>
                <w:szCs w:val="18"/>
              </w:rPr>
              <w:t>2.19%</w:t>
            </w:r>
          </w:p>
        </w:tc>
      </w:tr>
      <w:tr w14:paraId="1A2C0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33" w:type="pct"/>
            <w:shd w:val="clear" w:color="auto" w:fill="D3D3D3"/>
            <w:vAlign w:val="center"/>
          </w:tcPr>
          <w:p w14:paraId="29485B85">
            <w:pPr>
              <w:spacing w:before="0" w:after="0" w:line="240" w:lineRule="exact"/>
              <w:jc w:val="left"/>
              <w:rPr>
                <w:rFonts w:ascii="宋体" w:hAnsi="宋体" w:eastAsia="宋体" w:cs="宋体"/>
                <w:sz w:val="18"/>
                <w:szCs w:val="18"/>
              </w:rPr>
            </w:pPr>
            <w:r>
              <w:rPr>
                <w:rFonts w:ascii="宋体" w:hAnsi="宋体" w:eastAsia="宋体" w:cs="宋体"/>
                <w:sz w:val="18"/>
                <w:szCs w:val="18"/>
              </w:rPr>
              <w:t>归属于上市公司股东的净利润（元）</w:t>
            </w:r>
          </w:p>
        </w:tc>
        <w:tc>
          <w:tcPr>
            <w:tcW w:w="975" w:type="pct"/>
            <w:vAlign w:val="center"/>
          </w:tcPr>
          <w:p w14:paraId="458CFE22">
            <w:pPr>
              <w:spacing w:before="0" w:after="0" w:line="240" w:lineRule="exact"/>
              <w:jc w:val="right"/>
              <w:rPr>
                <w:rFonts w:ascii="宋体" w:hAnsi="宋体" w:eastAsia="宋体" w:cs="宋体"/>
                <w:sz w:val="18"/>
                <w:szCs w:val="18"/>
              </w:rPr>
            </w:pPr>
            <w:r>
              <w:rPr>
                <w:rFonts w:ascii="宋体" w:hAnsi="宋体" w:eastAsia="宋体" w:cs="宋体"/>
                <w:sz w:val="18"/>
                <w:szCs w:val="18"/>
              </w:rPr>
              <w:t>29,743,354.30</w:t>
            </w:r>
          </w:p>
        </w:tc>
        <w:tc>
          <w:tcPr>
            <w:tcW w:w="939" w:type="pct"/>
            <w:vAlign w:val="center"/>
          </w:tcPr>
          <w:p w14:paraId="22122BBF">
            <w:pPr>
              <w:spacing w:before="0" w:after="0" w:line="240" w:lineRule="exact"/>
              <w:jc w:val="right"/>
              <w:rPr>
                <w:rFonts w:ascii="宋体" w:hAnsi="宋体" w:eastAsia="宋体" w:cs="宋体"/>
                <w:sz w:val="18"/>
                <w:szCs w:val="18"/>
              </w:rPr>
            </w:pPr>
            <w:r>
              <w:rPr>
                <w:rFonts w:ascii="宋体" w:hAnsi="宋体" w:eastAsia="宋体" w:cs="宋体"/>
                <w:sz w:val="18"/>
                <w:szCs w:val="18"/>
              </w:rPr>
              <w:t>28,664,145.15</w:t>
            </w:r>
          </w:p>
        </w:tc>
        <w:tc>
          <w:tcPr>
            <w:tcW w:w="1250" w:type="pct"/>
            <w:vAlign w:val="center"/>
          </w:tcPr>
          <w:p w14:paraId="78C0D455">
            <w:pPr>
              <w:spacing w:before="0" w:after="0" w:line="240" w:lineRule="exact"/>
              <w:jc w:val="right"/>
              <w:rPr>
                <w:rFonts w:ascii="宋体" w:hAnsi="宋体" w:eastAsia="宋体" w:cs="宋体"/>
                <w:sz w:val="18"/>
                <w:szCs w:val="18"/>
              </w:rPr>
            </w:pPr>
            <w:r>
              <w:rPr>
                <w:rFonts w:ascii="宋体" w:hAnsi="宋体" w:eastAsia="宋体" w:cs="宋体"/>
                <w:sz w:val="18"/>
                <w:szCs w:val="18"/>
              </w:rPr>
              <w:t>3.77%</w:t>
            </w:r>
          </w:p>
        </w:tc>
      </w:tr>
      <w:tr w14:paraId="553F1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33" w:type="pct"/>
            <w:shd w:val="clear" w:color="auto" w:fill="D3D3D3"/>
            <w:vAlign w:val="center"/>
          </w:tcPr>
          <w:p w14:paraId="215A2F2A">
            <w:pPr>
              <w:spacing w:before="0" w:after="0" w:line="240" w:lineRule="exact"/>
              <w:jc w:val="left"/>
              <w:rPr>
                <w:rFonts w:ascii="宋体" w:hAnsi="宋体" w:eastAsia="宋体" w:cs="宋体"/>
                <w:sz w:val="18"/>
                <w:szCs w:val="18"/>
              </w:rPr>
            </w:pPr>
            <w:r>
              <w:rPr>
                <w:rFonts w:ascii="宋体" w:hAnsi="宋体" w:eastAsia="宋体" w:cs="宋体"/>
                <w:sz w:val="18"/>
                <w:szCs w:val="18"/>
              </w:rPr>
              <w:t>归属于上市公司股东的扣除非经常性损益的净利润（元）</w:t>
            </w:r>
          </w:p>
        </w:tc>
        <w:tc>
          <w:tcPr>
            <w:tcW w:w="975" w:type="pct"/>
            <w:vAlign w:val="center"/>
          </w:tcPr>
          <w:p w14:paraId="7DDCA808">
            <w:pPr>
              <w:spacing w:before="0" w:after="0" w:line="240" w:lineRule="exact"/>
              <w:jc w:val="right"/>
              <w:rPr>
                <w:rFonts w:ascii="宋体" w:hAnsi="宋体" w:eastAsia="宋体" w:cs="宋体"/>
                <w:sz w:val="18"/>
                <w:szCs w:val="18"/>
              </w:rPr>
            </w:pPr>
            <w:r>
              <w:rPr>
                <w:rFonts w:ascii="宋体" w:hAnsi="宋体" w:eastAsia="宋体" w:cs="宋体"/>
                <w:sz w:val="18"/>
                <w:szCs w:val="18"/>
              </w:rPr>
              <w:t>27,713,172.18</w:t>
            </w:r>
          </w:p>
        </w:tc>
        <w:tc>
          <w:tcPr>
            <w:tcW w:w="939" w:type="pct"/>
            <w:vAlign w:val="center"/>
          </w:tcPr>
          <w:p w14:paraId="6412794B">
            <w:pPr>
              <w:spacing w:before="0" w:after="0" w:line="240" w:lineRule="exact"/>
              <w:jc w:val="right"/>
              <w:rPr>
                <w:rFonts w:ascii="宋体" w:hAnsi="宋体" w:eastAsia="宋体" w:cs="宋体"/>
                <w:sz w:val="18"/>
                <w:szCs w:val="18"/>
              </w:rPr>
            </w:pPr>
            <w:r>
              <w:rPr>
                <w:rFonts w:ascii="宋体" w:hAnsi="宋体" w:eastAsia="宋体" w:cs="宋体"/>
                <w:sz w:val="18"/>
                <w:szCs w:val="18"/>
              </w:rPr>
              <w:t>24,912,596.30</w:t>
            </w:r>
          </w:p>
        </w:tc>
        <w:tc>
          <w:tcPr>
            <w:tcW w:w="1250" w:type="pct"/>
            <w:vAlign w:val="center"/>
          </w:tcPr>
          <w:p w14:paraId="06E6675F">
            <w:pPr>
              <w:spacing w:before="0" w:after="0" w:line="240" w:lineRule="exact"/>
              <w:jc w:val="right"/>
              <w:rPr>
                <w:rFonts w:ascii="宋体" w:hAnsi="宋体" w:eastAsia="宋体" w:cs="宋体"/>
                <w:sz w:val="18"/>
                <w:szCs w:val="18"/>
              </w:rPr>
            </w:pPr>
            <w:r>
              <w:rPr>
                <w:rFonts w:ascii="宋体" w:hAnsi="宋体" w:eastAsia="宋体" w:cs="宋体"/>
                <w:sz w:val="18"/>
                <w:szCs w:val="18"/>
              </w:rPr>
              <w:t>11.24%</w:t>
            </w:r>
          </w:p>
        </w:tc>
      </w:tr>
      <w:tr w14:paraId="0534A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33" w:type="pct"/>
            <w:shd w:val="clear" w:color="auto" w:fill="D3D3D3"/>
            <w:vAlign w:val="center"/>
          </w:tcPr>
          <w:p w14:paraId="5F1EBACE">
            <w:pPr>
              <w:spacing w:before="0" w:after="0" w:line="240" w:lineRule="exact"/>
              <w:jc w:val="left"/>
              <w:rPr>
                <w:rFonts w:ascii="宋体" w:hAnsi="宋体" w:eastAsia="宋体" w:cs="宋体"/>
                <w:sz w:val="18"/>
                <w:szCs w:val="18"/>
              </w:rPr>
            </w:pPr>
            <w:r>
              <w:rPr>
                <w:rFonts w:ascii="宋体" w:hAnsi="宋体" w:eastAsia="宋体" w:cs="宋体"/>
                <w:sz w:val="18"/>
                <w:szCs w:val="18"/>
              </w:rPr>
              <w:t>经营活动产生的现金流量净额（元）</w:t>
            </w:r>
          </w:p>
        </w:tc>
        <w:tc>
          <w:tcPr>
            <w:tcW w:w="975" w:type="pct"/>
            <w:vAlign w:val="center"/>
          </w:tcPr>
          <w:p w14:paraId="63CE92C2">
            <w:pPr>
              <w:spacing w:before="0" w:after="0" w:line="240" w:lineRule="exact"/>
              <w:jc w:val="right"/>
              <w:rPr>
                <w:rFonts w:ascii="宋体" w:hAnsi="宋体" w:eastAsia="宋体" w:cs="宋体"/>
                <w:sz w:val="18"/>
                <w:szCs w:val="18"/>
              </w:rPr>
            </w:pPr>
            <w:r>
              <w:rPr>
                <w:rFonts w:ascii="宋体" w:hAnsi="宋体" w:eastAsia="宋体" w:cs="宋体"/>
                <w:sz w:val="18"/>
                <w:szCs w:val="18"/>
              </w:rPr>
              <w:t>5,496,965.14</w:t>
            </w:r>
          </w:p>
        </w:tc>
        <w:tc>
          <w:tcPr>
            <w:tcW w:w="939" w:type="pct"/>
            <w:vAlign w:val="center"/>
          </w:tcPr>
          <w:p w14:paraId="0EE8A3DC">
            <w:pPr>
              <w:spacing w:before="0" w:after="0" w:line="240" w:lineRule="exact"/>
              <w:jc w:val="right"/>
              <w:rPr>
                <w:rFonts w:ascii="宋体" w:hAnsi="宋体" w:eastAsia="宋体" w:cs="宋体"/>
                <w:sz w:val="18"/>
                <w:szCs w:val="18"/>
              </w:rPr>
            </w:pPr>
            <w:r>
              <w:rPr>
                <w:rFonts w:ascii="宋体" w:hAnsi="宋体" w:eastAsia="宋体" w:cs="宋体"/>
                <w:sz w:val="18"/>
                <w:szCs w:val="18"/>
              </w:rPr>
              <w:t>-396,794.26</w:t>
            </w:r>
          </w:p>
        </w:tc>
        <w:tc>
          <w:tcPr>
            <w:tcW w:w="1250" w:type="pct"/>
            <w:vAlign w:val="center"/>
          </w:tcPr>
          <w:p w14:paraId="088A4582">
            <w:pPr>
              <w:spacing w:before="0" w:after="0" w:line="240" w:lineRule="exact"/>
              <w:jc w:val="right"/>
              <w:rPr>
                <w:rFonts w:ascii="宋体" w:hAnsi="宋体" w:eastAsia="宋体" w:cs="宋体"/>
                <w:sz w:val="18"/>
                <w:szCs w:val="18"/>
              </w:rPr>
            </w:pPr>
            <w:r>
              <w:rPr>
                <w:rFonts w:ascii="宋体" w:hAnsi="宋体" w:eastAsia="宋体" w:cs="宋体"/>
                <w:sz w:val="18"/>
                <w:szCs w:val="18"/>
              </w:rPr>
              <w:t>1,485.34%</w:t>
            </w:r>
          </w:p>
        </w:tc>
      </w:tr>
      <w:tr w14:paraId="20C1A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33" w:type="pct"/>
            <w:shd w:val="clear" w:color="auto" w:fill="D3D3D3"/>
            <w:vAlign w:val="center"/>
          </w:tcPr>
          <w:p w14:paraId="158EF886">
            <w:pPr>
              <w:spacing w:before="0" w:after="0" w:line="240" w:lineRule="exact"/>
              <w:jc w:val="left"/>
              <w:rPr>
                <w:rFonts w:ascii="宋体" w:hAnsi="宋体" w:eastAsia="宋体" w:cs="宋体"/>
                <w:sz w:val="18"/>
                <w:szCs w:val="18"/>
              </w:rPr>
            </w:pPr>
            <w:r>
              <w:rPr>
                <w:rFonts w:ascii="宋体" w:hAnsi="宋体" w:eastAsia="宋体" w:cs="宋体"/>
                <w:sz w:val="18"/>
                <w:szCs w:val="18"/>
              </w:rPr>
              <w:t>基本每股收益（元/股）</w:t>
            </w:r>
          </w:p>
        </w:tc>
        <w:tc>
          <w:tcPr>
            <w:tcW w:w="975" w:type="pct"/>
            <w:vAlign w:val="center"/>
          </w:tcPr>
          <w:p w14:paraId="3D29E4C0">
            <w:pPr>
              <w:spacing w:before="0" w:after="0" w:line="240" w:lineRule="exact"/>
              <w:jc w:val="right"/>
              <w:rPr>
                <w:rFonts w:ascii="宋体" w:hAnsi="宋体" w:eastAsia="宋体" w:cs="宋体"/>
                <w:sz w:val="18"/>
                <w:szCs w:val="18"/>
              </w:rPr>
            </w:pPr>
            <w:r>
              <w:rPr>
                <w:rFonts w:ascii="宋体" w:hAnsi="宋体" w:eastAsia="宋体" w:cs="宋体"/>
                <w:sz w:val="18"/>
                <w:szCs w:val="18"/>
              </w:rPr>
              <w:t>0.1525</w:t>
            </w:r>
          </w:p>
        </w:tc>
        <w:tc>
          <w:tcPr>
            <w:tcW w:w="939" w:type="pct"/>
            <w:vAlign w:val="center"/>
          </w:tcPr>
          <w:p w14:paraId="2C822763">
            <w:pPr>
              <w:spacing w:before="0" w:after="0" w:line="240" w:lineRule="exact"/>
              <w:jc w:val="right"/>
              <w:rPr>
                <w:rFonts w:ascii="宋体" w:hAnsi="宋体" w:eastAsia="宋体" w:cs="宋体"/>
                <w:sz w:val="18"/>
                <w:szCs w:val="18"/>
              </w:rPr>
            </w:pPr>
            <w:r>
              <w:rPr>
                <w:rFonts w:ascii="宋体" w:hAnsi="宋体" w:eastAsia="宋体" w:cs="宋体"/>
                <w:sz w:val="18"/>
                <w:szCs w:val="18"/>
              </w:rPr>
              <w:t>0.1470</w:t>
            </w:r>
          </w:p>
        </w:tc>
        <w:tc>
          <w:tcPr>
            <w:tcW w:w="1250" w:type="pct"/>
            <w:vAlign w:val="center"/>
          </w:tcPr>
          <w:p w14:paraId="33BB504C">
            <w:pPr>
              <w:spacing w:before="0" w:after="0" w:line="240" w:lineRule="exact"/>
              <w:jc w:val="right"/>
              <w:rPr>
                <w:rFonts w:ascii="宋体" w:hAnsi="宋体" w:eastAsia="宋体" w:cs="宋体"/>
                <w:sz w:val="18"/>
                <w:szCs w:val="18"/>
              </w:rPr>
            </w:pPr>
            <w:r>
              <w:rPr>
                <w:rFonts w:ascii="宋体" w:hAnsi="宋体" w:eastAsia="宋体" w:cs="宋体"/>
                <w:sz w:val="18"/>
                <w:szCs w:val="18"/>
              </w:rPr>
              <w:t>3.74%</w:t>
            </w:r>
          </w:p>
        </w:tc>
      </w:tr>
      <w:tr w14:paraId="05A6D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33" w:type="pct"/>
            <w:shd w:val="clear" w:color="auto" w:fill="D3D3D3"/>
            <w:vAlign w:val="center"/>
          </w:tcPr>
          <w:p w14:paraId="49A4C89D">
            <w:pPr>
              <w:spacing w:before="0" w:after="0" w:line="240" w:lineRule="exact"/>
              <w:jc w:val="left"/>
              <w:rPr>
                <w:rFonts w:ascii="宋体" w:hAnsi="宋体" w:eastAsia="宋体" w:cs="宋体"/>
                <w:sz w:val="18"/>
                <w:szCs w:val="18"/>
              </w:rPr>
            </w:pPr>
            <w:r>
              <w:rPr>
                <w:rFonts w:ascii="宋体" w:hAnsi="宋体" w:eastAsia="宋体" w:cs="宋体"/>
                <w:sz w:val="18"/>
                <w:szCs w:val="18"/>
              </w:rPr>
              <w:t>稀释每股收益（元/股）</w:t>
            </w:r>
          </w:p>
        </w:tc>
        <w:tc>
          <w:tcPr>
            <w:tcW w:w="975" w:type="pct"/>
            <w:vAlign w:val="center"/>
          </w:tcPr>
          <w:p w14:paraId="005B1A29">
            <w:pPr>
              <w:spacing w:before="0" w:after="0" w:line="240" w:lineRule="exact"/>
              <w:jc w:val="right"/>
              <w:rPr>
                <w:rFonts w:ascii="宋体" w:hAnsi="宋体" w:eastAsia="宋体" w:cs="宋体"/>
                <w:sz w:val="18"/>
                <w:szCs w:val="18"/>
              </w:rPr>
            </w:pPr>
            <w:r>
              <w:rPr>
                <w:rFonts w:ascii="宋体" w:hAnsi="宋体" w:eastAsia="宋体" w:cs="宋体"/>
                <w:sz w:val="18"/>
                <w:szCs w:val="18"/>
              </w:rPr>
              <w:t>0.1525</w:t>
            </w:r>
          </w:p>
        </w:tc>
        <w:tc>
          <w:tcPr>
            <w:tcW w:w="939" w:type="pct"/>
            <w:vAlign w:val="center"/>
          </w:tcPr>
          <w:p w14:paraId="7120876A">
            <w:pPr>
              <w:spacing w:before="0" w:after="0" w:line="240" w:lineRule="exact"/>
              <w:jc w:val="right"/>
              <w:rPr>
                <w:rFonts w:ascii="宋体" w:hAnsi="宋体" w:eastAsia="宋体" w:cs="宋体"/>
                <w:sz w:val="18"/>
                <w:szCs w:val="18"/>
              </w:rPr>
            </w:pPr>
            <w:r>
              <w:rPr>
                <w:rFonts w:ascii="宋体" w:hAnsi="宋体" w:eastAsia="宋体" w:cs="宋体"/>
                <w:sz w:val="18"/>
                <w:szCs w:val="18"/>
              </w:rPr>
              <w:t>0.1470</w:t>
            </w:r>
          </w:p>
        </w:tc>
        <w:tc>
          <w:tcPr>
            <w:tcW w:w="1250" w:type="pct"/>
            <w:vAlign w:val="center"/>
          </w:tcPr>
          <w:p w14:paraId="022DB0A8">
            <w:pPr>
              <w:spacing w:before="0" w:after="0" w:line="240" w:lineRule="exact"/>
              <w:jc w:val="right"/>
              <w:rPr>
                <w:rFonts w:ascii="宋体" w:hAnsi="宋体" w:eastAsia="宋体" w:cs="宋体"/>
                <w:sz w:val="18"/>
                <w:szCs w:val="18"/>
              </w:rPr>
            </w:pPr>
            <w:r>
              <w:rPr>
                <w:rFonts w:ascii="宋体" w:hAnsi="宋体" w:eastAsia="宋体" w:cs="宋体"/>
                <w:sz w:val="18"/>
                <w:szCs w:val="18"/>
              </w:rPr>
              <w:t>3.74%</w:t>
            </w:r>
          </w:p>
        </w:tc>
      </w:tr>
      <w:tr w14:paraId="6742F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33" w:type="pct"/>
            <w:shd w:val="clear" w:color="auto" w:fill="D3D3D3"/>
            <w:vAlign w:val="center"/>
          </w:tcPr>
          <w:p w14:paraId="3BC4527C">
            <w:pPr>
              <w:spacing w:before="0" w:after="0" w:line="240" w:lineRule="exact"/>
              <w:jc w:val="left"/>
              <w:rPr>
                <w:rFonts w:ascii="宋体" w:hAnsi="宋体" w:eastAsia="宋体" w:cs="宋体"/>
                <w:sz w:val="18"/>
                <w:szCs w:val="18"/>
              </w:rPr>
            </w:pPr>
            <w:r>
              <w:rPr>
                <w:rFonts w:ascii="宋体" w:hAnsi="宋体" w:eastAsia="宋体" w:cs="宋体"/>
                <w:sz w:val="18"/>
                <w:szCs w:val="18"/>
              </w:rPr>
              <w:t>加权平均净资产收益率</w:t>
            </w:r>
          </w:p>
        </w:tc>
        <w:tc>
          <w:tcPr>
            <w:tcW w:w="975" w:type="pct"/>
            <w:vAlign w:val="center"/>
          </w:tcPr>
          <w:p w14:paraId="4E99D686">
            <w:pPr>
              <w:spacing w:before="0" w:after="0" w:line="240" w:lineRule="exact"/>
              <w:jc w:val="right"/>
              <w:rPr>
                <w:rFonts w:ascii="宋体" w:hAnsi="宋体" w:eastAsia="宋体" w:cs="宋体"/>
                <w:sz w:val="18"/>
                <w:szCs w:val="18"/>
              </w:rPr>
            </w:pPr>
            <w:r>
              <w:rPr>
                <w:rFonts w:ascii="宋体" w:hAnsi="宋体" w:eastAsia="宋体" w:cs="宋体"/>
                <w:sz w:val="18"/>
                <w:szCs w:val="18"/>
              </w:rPr>
              <w:t>2.85%</w:t>
            </w:r>
          </w:p>
        </w:tc>
        <w:tc>
          <w:tcPr>
            <w:tcW w:w="939" w:type="pct"/>
            <w:vAlign w:val="center"/>
          </w:tcPr>
          <w:p w14:paraId="4BB261E8">
            <w:pPr>
              <w:spacing w:before="0" w:after="0" w:line="240" w:lineRule="exact"/>
              <w:jc w:val="right"/>
              <w:rPr>
                <w:rFonts w:ascii="宋体" w:hAnsi="宋体" w:eastAsia="宋体" w:cs="宋体"/>
                <w:sz w:val="18"/>
                <w:szCs w:val="18"/>
              </w:rPr>
            </w:pPr>
            <w:r>
              <w:rPr>
                <w:rFonts w:ascii="宋体" w:hAnsi="宋体" w:eastAsia="宋体" w:cs="宋体"/>
                <w:sz w:val="18"/>
                <w:szCs w:val="18"/>
              </w:rPr>
              <w:t>2.90%</w:t>
            </w:r>
          </w:p>
        </w:tc>
        <w:tc>
          <w:tcPr>
            <w:tcW w:w="1250" w:type="pct"/>
            <w:vAlign w:val="center"/>
          </w:tcPr>
          <w:p w14:paraId="3CB2FE6A">
            <w:pPr>
              <w:spacing w:before="0" w:after="0" w:line="240" w:lineRule="exact"/>
              <w:jc w:val="right"/>
              <w:rPr>
                <w:rFonts w:ascii="宋体" w:hAnsi="宋体" w:eastAsia="宋体" w:cs="宋体"/>
                <w:sz w:val="18"/>
                <w:szCs w:val="18"/>
              </w:rPr>
            </w:pPr>
            <w:r>
              <w:rPr>
                <w:rFonts w:ascii="宋体" w:hAnsi="宋体" w:eastAsia="宋体" w:cs="宋体"/>
                <w:sz w:val="18"/>
                <w:szCs w:val="18"/>
              </w:rPr>
              <w:t>-0.05%</w:t>
            </w:r>
          </w:p>
        </w:tc>
      </w:tr>
      <w:tr w14:paraId="39188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33" w:type="pct"/>
            <w:shd w:val="clear" w:color="auto" w:fill="D3D3D3"/>
            <w:vAlign w:val="center"/>
          </w:tcPr>
          <w:p w14:paraId="0BACFEDD"/>
        </w:tc>
        <w:tc>
          <w:tcPr>
            <w:tcW w:w="975" w:type="pct"/>
            <w:shd w:val="clear" w:color="auto" w:fill="D3D3D3"/>
            <w:vAlign w:val="center"/>
          </w:tcPr>
          <w:p w14:paraId="1B38F9A3">
            <w:pPr>
              <w:spacing w:before="0" w:after="0" w:line="240" w:lineRule="exact"/>
              <w:jc w:val="center"/>
              <w:rPr>
                <w:rFonts w:ascii="宋体" w:hAnsi="宋体" w:eastAsia="宋体" w:cs="宋体"/>
                <w:sz w:val="18"/>
                <w:szCs w:val="18"/>
              </w:rPr>
            </w:pPr>
            <w:r>
              <w:rPr>
                <w:rFonts w:ascii="宋体" w:hAnsi="宋体" w:eastAsia="宋体" w:cs="宋体"/>
                <w:sz w:val="18"/>
                <w:szCs w:val="18"/>
              </w:rPr>
              <w:t>本报告期末</w:t>
            </w:r>
          </w:p>
        </w:tc>
        <w:tc>
          <w:tcPr>
            <w:tcW w:w="939" w:type="pct"/>
            <w:shd w:val="clear" w:color="auto" w:fill="D3D3D3"/>
            <w:vAlign w:val="center"/>
          </w:tcPr>
          <w:p w14:paraId="5E1534A3">
            <w:pPr>
              <w:spacing w:before="0" w:after="0" w:line="240" w:lineRule="exact"/>
              <w:jc w:val="center"/>
              <w:rPr>
                <w:rFonts w:ascii="宋体" w:hAnsi="宋体" w:eastAsia="宋体" w:cs="宋体"/>
                <w:sz w:val="18"/>
                <w:szCs w:val="18"/>
              </w:rPr>
            </w:pPr>
            <w:r>
              <w:rPr>
                <w:rFonts w:ascii="宋体" w:hAnsi="宋体" w:eastAsia="宋体" w:cs="宋体"/>
                <w:sz w:val="18"/>
                <w:szCs w:val="18"/>
              </w:rPr>
              <w:t>上年度末</w:t>
            </w:r>
          </w:p>
        </w:tc>
        <w:tc>
          <w:tcPr>
            <w:tcW w:w="1250" w:type="pct"/>
            <w:shd w:val="clear" w:color="auto" w:fill="D3D3D3"/>
            <w:vAlign w:val="center"/>
          </w:tcPr>
          <w:p w14:paraId="7A854A8A">
            <w:pPr>
              <w:spacing w:before="0" w:after="0" w:line="240" w:lineRule="exact"/>
              <w:jc w:val="center"/>
              <w:rPr>
                <w:rFonts w:ascii="宋体" w:hAnsi="宋体" w:eastAsia="宋体" w:cs="宋体"/>
                <w:sz w:val="18"/>
                <w:szCs w:val="18"/>
              </w:rPr>
            </w:pPr>
            <w:r>
              <w:rPr>
                <w:rFonts w:ascii="宋体" w:hAnsi="宋体" w:eastAsia="宋体" w:cs="宋体"/>
                <w:sz w:val="18"/>
                <w:szCs w:val="18"/>
              </w:rPr>
              <w:t>本报告期末比上年度末增减（%）</w:t>
            </w:r>
          </w:p>
        </w:tc>
      </w:tr>
      <w:tr w14:paraId="25C50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33" w:type="pct"/>
            <w:shd w:val="clear" w:color="auto" w:fill="D3D3D3"/>
            <w:vAlign w:val="center"/>
          </w:tcPr>
          <w:p w14:paraId="0DF3839D">
            <w:pPr>
              <w:spacing w:before="0" w:after="0" w:line="240" w:lineRule="exact"/>
              <w:jc w:val="left"/>
              <w:rPr>
                <w:rFonts w:ascii="宋体" w:hAnsi="宋体" w:eastAsia="宋体" w:cs="宋体"/>
                <w:sz w:val="18"/>
                <w:szCs w:val="18"/>
              </w:rPr>
            </w:pPr>
            <w:r>
              <w:rPr>
                <w:rFonts w:ascii="宋体" w:hAnsi="宋体" w:eastAsia="宋体" w:cs="宋体"/>
                <w:sz w:val="18"/>
                <w:szCs w:val="18"/>
              </w:rPr>
              <w:t>总资产（元）</w:t>
            </w:r>
          </w:p>
        </w:tc>
        <w:tc>
          <w:tcPr>
            <w:tcW w:w="975" w:type="pct"/>
            <w:vAlign w:val="center"/>
          </w:tcPr>
          <w:p w14:paraId="7B666FAE">
            <w:pPr>
              <w:spacing w:before="0" w:after="0" w:line="240" w:lineRule="exact"/>
              <w:jc w:val="right"/>
              <w:rPr>
                <w:rFonts w:ascii="宋体" w:hAnsi="宋体" w:eastAsia="宋体" w:cs="宋体"/>
                <w:sz w:val="18"/>
                <w:szCs w:val="18"/>
              </w:rPr>
            </w:pPr>
            <w:r>
              <w:rPr>
                <w:rFonts w:ascii="宋体" w:hAnsi="宋体" w:eastAsia="宋体" w:cs="宋体"/>
                <w:sz w:val="18"/>
                <w:szCs w:val="18"/>
              </w:rPr>
              <w:t>1,141,620,212.53</w:t>
            </w:r>
          </w:p>
        </w:tc>
        <w:tc>
          <w:tcPr>
            <w:tcW w:w="939" w:type="pct"/>
            <w:vAlign w:val="center"/>
          </w:tcPr>
          <w:p w14:paraId="6DB9F42D">
            <w:pPr>
              <w:spacing w:before="0" w:after="0" w:line="240" w:lineRule="exact"/>
              <w:jc w:val="right"/>
              <w:rPr>
                <w:rFonts w:ascii="宋体" w:hAnsi="宋体" w:eastAsia="宋体" w:cs="宋体"/>
                <w:sz w:val="18"/>
                <w:szCs w:val="18"/>
              </w:rPr>
            </w:pPr>
            <w:r>
              <w:rPr>
                <w:rFonts w:ascii="宋体" w:hAnsi="宋体" w:eastAsia="宋体" w:cs="宋体"/>
                <w:sz w:val="18"/>
                <w:szCs w:val="18"/>
              </w:rPr>
              <w:t>1,153,157,818.30</w:t>
            </w:r>
          </w:p>
        </w:tc>
        <w:tc>
          <w:tcPr>
            <w:tcW w:w="1250" w:type="pct"/>
            <w:vAlign w:val="center"/>
          </w:tcPr>
          <w:p w14:paraId="6EB4291F">
            <w:pPr>
              <w:spacing w:before="0" w:after="0" w:line="240" w:lineRule="exact"/>
              <w:jc w:val="right"/>
              <w:rPr>
                <w:rFonts w:ascii="宋体" w:hAnsi="宋体" w:eastAsia="宋体" w:cs="宋体"/>
                <w:sz w:val="18"/>
                <w:szCs w:val="18"/>
              </w:rPr>
            </w:pPr>
            <w:r>
              <w:rPr>
                <w:rFonts w:ascii="宋体" w:hAnsi="宋体" w:eastAsia="宋体" w:cs="宋体"/>
                <w:sz w:val="18"/>
                <w:szCs w:val="18"/>
              </w:rPr>
              <w:t>-1.00%</w:t>
            </w:r>
          </w:p>
        </w:tc>
      </w:tr>
      <w:tr w14:paraId="38B70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33" w:type="pct"/>
            <w:shd w:val="clear" w:color="auto" w:fill="D3D3D3"/>
            <w:vAlign w:val="center"/>
          </w:tcPr>
          <w:p w14:paraId="3ED2065F">
            <w:pPr>
              <w:spacing w:before="0" w:after="0" w:line="240" w:lineRule="exact"/>
              <w:jc w:val="left"/>
              <w:rPr>
                <w:rFonts w:ascii="宋体" w:hAnsi="宋体" w:eastAsia="宋体" w:cs="宋体"/>
                <w:sz w:val="18"/>
                <w:szCs w:val="18"/>
              </w:rPr>
            </w:pPr>
            <w:r>
              <w:rPr>
                <w:rFonts w:ascii="宋体" w:hAnsi="宋体" w:eastAsia="宋体" w:cs="宋体"/>
                <w:sz w:val="18"/>
                <w:szCs w:val="18"/>
              </w:rPr>
              <w:t>归属于上市公司股东的所有者权益（元）</w:t>
            </w:r>
          </w:p>
        </w:tc>
        <w:tc>
          <w:tcPr>
            <w:tcW w:w="975" w:type="pct"/>
            <w:vAlign w:val="center"/>
          </w:tcPr>
          <w:p w14:paraId="25C81679">
            <w:pPr>
              <w:spacing w:before="0" w:after="0" w:line="240" w:lineRule="exact"/>
              <w:jc w:val="right"/>
              <w:rPr>
                <w:rFonts w:ascii="宋体" w:hAnsi="宋体" w:eastAsia="宋体" w:cs="宋体"/>
                <w:sz w:val="18"/>
                <w:szCs w:val="18"/>
              </w:rPr>
            </w:pPr>
            <w:r>
              <w:rPr>
                <w:rFonts w:ascii="宋体" w:hAnsi="宋体" w:eastAsia="宋体" w:cs="宋体"/>
                <w:sz w:val="18"/>
                <w:szCs w:val="18"/>
              </w:rPr>
              <w:t>1,057,450,690.18</w:t>
            </w:r>
          </w:p>
        </w:tc>
        <w:tc>
          <w:tcPr>
            <w:tcW w:w="939" w:type="pct"/>
            <w:vAlign w:val="center"/>
          </w:tcPr>
          <w:p w14:paraId="45BE3C9D">
            <w:pPr>
              <w:spacing w:before="0" w:after="0" w:line="240" w:lineRule="exact"/>
              <w:jc w:val="right"/>
              <w:rPr>
                <w:rFonts w:ascii="宋体" w:hAnsi="宋体" w:eastAsia="宋体" w:cs="宋体"/>
                <w:sz w:val="18"/>
                <w:szCs w:val="18"/>
              </w:rPr>
            </w:pPr>
            <w:r>
              <w:rPr>
                <w:rFonts w:ascii="宋体" w:hAnsi="宋体" w:eastAsia="宋体" w:cs="宋体"/>
                <w:sz w:val="18"/>
                <w:szCs w:val="18"/>
              </w:rPr>
              <w:t>1,027,310,209.84</w:t>
            </w:r>
          </w:p>
        </w:tc>
        <w:tc>
          <w:tcPr>
            <w:tcW w:w="1250" w:type="pct"/>
            <w:vAlign w:val="center"/>
          </w:tcPr>
          <w:p w14:paraId="540C6D3A">
            <w:pPr>
              <w:spacing w:before="0" w:after="0" w:line="240" w:lineRule="exact"/>
              <w:jc w:val="right"/>
              <w:rPr>
                <w:rFonts w:ascii="宋体" w:hAnsi="宋体" w:eastAsia="宋体" w:cs="宋体"/>
                <w:sz w:val="18"/>
                <w:szCs w:val="18"/>
              </w:rPr>
            </w:pPr>
            <w:r>
              <w:rPr>
                <w:rFonts w:ascii="宋体" w:hAnsi="宋体" w:eastAsia="宋体" w:cs="宋体"/>
                <w:sz w:val="18"/>
                <w:szCs w:val="18"/>
              </w:rPr>
              <w:t>2.93%</w:t>
            </w:r>
          </w:p>
        </w:tc>
      </w:tr>
    </w:tbl>
    <w:p w14:paraId="612AEE31">
      <w:pPr>
        <w:keepNext/>
        <w:keepLines/>
        <w:spacing w:before="300" w:after="300" w:line="280" w:lineRule="exact"/>
        <w:jc w:val="left"/>
        <w:outlineLvl w:val="1"/>
        <w:rPr>
          <w:rFonts w:ascii="宋体" w:hAnsi="宋体" w:eastAsia="宋体" w:cs="宋体"/>
          <w:b/>
          <w:bCs/>
          <w:sz w:val="21"/>
          <w:szCs w:val="21"/>
        </w:rPr>
      </w:pPr>
      <w:bookmarkStart w:id="2" w:name="_Toc988891"/>
      <w:r>
        <w:rPr>
          <w:rFonts w:ascii="宋体" w:hAnsi="宋体" w:eastAsia="宋体" w:cs="宋体"/>
          <w:b/>
          <w:bCs/>
          <w:sz w:val="21"/>
          <w:szCs w:val="21"/>
        </w:rPr>
        <w:t>（二）非经常性损益项目和金额</w:t>
      </w:r>
      <w:bookmarkEnd w:id="2"/>
    </w:p>
    <w:p w14:paraId="0D198C54">
      <w:pPr>
        <w:spacing w:before="0" w:after="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14:paraId="3829D87C">
      <w:pPr>
        <w:spacing w:before="0" w:after="0" w:line="240" w:lineRule="exact"/>
        <w:jc w:val="left"/>
        <w:rPr>
          <w:rFonts w:ascii="宋体" w:hAnsi="宋体" w:eastAsia="宋体" w:cs="宋体"/>
          <w:sz w:val="18"/>
          <w:szCs w:val="18"/>
        </w:rPr>
      </w:pPr>
    </w:p>
    <w:p w14:paraId="49BB46B9">
      <w:pPr>
        <w:spacing w:before="0" w:after="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08"/>
        <w:gridCol w:w="1526"/>
        <w:gridCol w:w="2207"/>
      </w:tblGrid>
      <w:tr w14:paraId="1DDFD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3102" w:type="pct"/>
            <w:shd w:val="clear" w:color="auto" w:fill="D3D3D3"/>
            <w:vAlign w:val="center"/>
          </w:tcPr>
          <w:p w14:paraId="2A8F19BF">
            <w:pPr>
              <w:spacing w:before="40" w:after="40" w:line="240" w:lineRule="exact"/>
              <w:jc w:val="center"/>
              <w:rPr>
                <w:rFonts w:ascii="宋体" w:hAnsi="宋体" w:eastAsia="宋体" w:cs="宋体"/>
                <w:sz w:val="18"/>
                <w:szCs w:val="18"/>
              </w:rPr>
            </w:pPr>
            <w:r>
              <w:rPr>
                <w:rFonts w:ascii="宋体" w:hAnsi="宋体" w:eastAsia="宋体" w:cs="宋体"/>
                <w:sz w:val="18"/>
                <w:szCs w:val="18"/>
              </w:rPr>
              <w:t>项目</w:t>
            </w:r>
          </w:p>
        </w:tc>
        <w:tc>
          <w:tcPr>
            <w:tcW w:w="775" w:type="pct"/>
            <w:shd w:val="clear" w:color="auto" w:fill="D3D3D3"/>
            <w:vAlign w:val="center"/>
          </w:tcPr>
          <w:p w14:paraId="6FBD7366">
            <w:pPr>
              <w:spacing w:before="40" w:after="40" w:line="240" w:lineRule="exact"/>
              <w:jc w:val="center"/>
              <w:rPr>
                <w:rFonts w:ascii="宋体" w:hAnsi="宋体" w:eastAsia="宋体" w:cs="宋体"/>
                <w:sz w:val="18"/>
                <w:szCs w:val="18"/>
              </w:rPr>
            </w:pPr>
            <w:r>
              <w:rPr>
                <w:rFonts w:ascii="宋体" w:hAnsi="宋体" w:eastAsia="宋体" w:cs="宋体"/>
                <w:sz w:val="18"/>
                <w:szCs w:val="18"/>
              </w:rPr>
              <w:t>本报告期金额</w:t>
            </w:r>
          </w:p>
        </w:tc>
        <w:tc>
          <w:tcPr>
            <w:tcW w:w="1121" w:type="pct"/>
            <w:shd w:val="clear" w:color="auto" w:fill="D3D3D3"/>
            <w:vAlign w:val="center"/>
          </w:tcPr>
          <w:p w14:paraId="39FF36F0">
            <w:pPr>
              <w:spacing w:before="40" w:after="40" w:line="240" w:lineRule="exact"/>
              <w:jc w:val="center"/>
              <w:rPr>
                <w:rFonts w:ascii="宋体" w:hAnsi="宋体" w:eastAsia="宋体" w:cs="宋体"/>
                <w:sz w:val="18"/>
                <w:szCs w:val="18"/>
              </w:rPr>
            </w:pPr>
            <w:r>
              <w:rPr>
                <w:rFonts w:ascii="宋体" w:hAnsi="宋体" w:eastAsia="宋体" w:cs="宋体"/>
                <w:sz w:val="18"/>
                <w:szCs w:val="18"/>
              </w:rPr>
              <w:t>说明</w:t>
            </w:r>
          </w:p>
        </w:tc>
      </w:tr>
      <w:tr w14:paraId="1E827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3102" w:type="pct"/>
            <w:shd w:val="clear" w:color="auto" w:fill="D3D3D3"/>
            <w:vAlign w:val="center"/>
          </w:tcPr>
          <w:p w14:paraId="54885CD3">
            <w:pPr>
              <w:spacing w:before="40" w:after="40" w:line="240" w:lineRule="exact"/>
              <w:jc w:val="left"/>
              <w:rPr>
                <w:rFonts w:ascii="宋体" w:hAnsi="宋体" w:eastAsia="宋体" w:cs="宋体"/>
                <w:sz w:val="18"/>
                <w:szCs w:val="18"/>
              </w:rPr>
            </w:pPr>
            <w:r>
              <w:rPr>
                <w:rFonts w:ascii="宋体" w:hAnsi="宋体" w:eastAsia="宋体" w:cs="宋体"/>
                <w:sz w:val="18"/>
                <w:szCs w:val="18"/>
              </w:rPr>
              <w:t>非流动性资产处置损益（包括已计提资产减值准备的冲销部分）</w:t>
            </w:r>
          </w:p>
        </w:tc>
        <w:tc>
          <w:tcPr>
            <w:tcW w:w="775" w:type="pct"/>
            <w:vAlign w:val="center"/>
          </w:tcPr>
          <w:p w14:paraId="7A9F2BF7">
            <w:pPr>
              <w:spacing w:before="0" w:after="0" w:line="240" w:lineRule="exact"/>
              <w:jc w:val="right"/>
              <w:rPr>
                <w:rFonts w:ascii="宋体" w:hAnsi="宋体" w:eastAsia="宋体" w:cs="宋体"/>
                <w:sz w:val="18"/>
                <w:szCs w:val="18"/>
              </w:rPr>
            </w:pPr>
            <w:r>
              <w:rPr>
                <w:rFonts w:ascii="宋体" w:hAnsi="宋体" w:eastAsia="宋体" w:cs="宋体"/>
                <w:sz w:val="18"/>
                <w:szCs w:val="18"/>
              </w:rPr>
              <w:t>-17,880.73</w:t>
            </w:r>
          </w:p>
        </w:tc>
        <w:tc>
          <w:tcPr>
            <w:tcW w:w="1121" w:type="pct"/>
            <w:vAlign w:val="center"/>
          </w:tcPr>
          <w:p w14:paraId="603AF99C">
            <w:pPr>
              <w:spacing w:before="0" w:after="0" w:line="240" w:lineRule="exact"/>
              <w:jc w:val="left"/>
              <w:rPr>
                <w:rFonts w:ascii="宋体" w:hAnsi="宋体" w:eastAsia="宋体" w:cs="宋体"/>
                <w:sz w:val="18"/>
                <w:szCs w:val="18"/>
              </w:rPr>
            </w:pPr>
            <w:r>
              <w:rPr>
                <w:rFonts w:ascii="宋体" w:hAnsi="宋体" w:eastAsia="宋体" w:cs="宋体"/>
                <w:sz w:val="18"/>
                <w:szCs w:val="18"/>
              </w:rPr>
              <w:t>主要系处置固定资产所致</w:t>
            </w:r>
          </w:p>
        </w:tc>
      </w:tr>
      <w:tr w14:paraId="7E464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3102" w:type="pct"/>
            <w:shd w:val="clear" w:color="auto" w:fill="D3D3D3"/>
            <w:vAlign w:val="center"/>
          </w:tcPr>
          <w:p w14:paraId="13F09C52">
            <w:pPr>
              <w:spacing w:before="40" w:after="40" w:line="240" w:lineRule="exact"/>
              <w:jc w:val="left"/>
              <w:rPr>
                <w:rFonts w:ascii="宋体" w:hAnsi="宋体" w:eastAsia="宋体" w:cs="宋体"/>
                <w:sz w:val="18"/>
                <w:szCs w:val="18"/>
              </w:rPr>
            </w:pPr>
            <w:r>
              <w:rPr>
                <w:rFonts w:ascii="宋体" w:hAnsi="宋体" w:eastAsia="宋体" w:cs="宋体"/>
                <w:sz w:val="18"/>
                <w:szCs w:val="18"/>
              </w:rPr>
              <w:t>计入当期损益的政府补助（与公司正常经营业务密切相关、符合国家政策规定、按照确定的标准享有、对公司损益产生持续影响的政府补助除外）</w:t>
            </w:r>
          </w:p>
        </w:tc>
        <w:tc>
          <w:tcPr>
            <w:tcW w:w="775" w:type="pct"/>
            <w:vAlign w:val="center"/>
          </w:tcPr>
          <w:p w14:paraId="6E457C13">
            <w:pPr>
              <w:spacing w:before="0" w:after="0" w:line="240" w:lineRule="exact"/>
              <w:jc w:val="right"/>
              <w:rPr>
                <w:rFonts w:ascii="宋体" w:hAnsi="宋体" w:eastAsia="宋体" w:cs="宋体"/>
                <w:sz w:val="18"/>
                <w:szCs w:val="18"/>
              </w:rPr>
            </w:pPr>
            <w:r>
              <w:rPr>
                <w:rFonts w:ascii="宋体" w:hAnsi="宋体" w:eastAsia="宋体" w:cs="宋体"/>
                <w:sz w:val="18"/>
                <w:szCs w:val="18"/>
              </w:rPr>
              <w:t>80,260.91</w:t>
            </w:r>
          </w:p>
        </w:tc>
        <w:tc>
          <w:tcPr>
            <w:tcW w:w="1121" w:type="pct"/>
            <w:vAlign w:val="center"/>
          </w:tcPr>
          <w:p w14:paraId="32697914">
            <w:pPr>
              <w:spacing w:before="0" w:after="0" w:line="240" w:lineRule="exact"/>
              <w:jc w:val="left"/>
              <w:rPr>
                <w:rFonts w:ascii="宋体" w:hAnsi="宋体" w:eastAsia="宋体" w:cs="宋体"/>
                <w:sz w:val="18"/>
                <w:szCs w:val="18"/>
              </w:rPr>
            </w:pPr>
            <w:r>
              <w:rPr>
                <w:rFonts w:ascii="宋体" w:hAnsi="宋体" w:eastAsia="宋体" w:cs="宋体"/>
                <w:sz w:val="18"/>
                <w:szCs w:val="18"/>
              </w:rPr>
              <w:t>主要系收到的政府补助、个税返还等原因所致</w:t>
            </w:r>
          </w:p>
        </w:tc>
      </w:tr>
      <w:tr w14:paraId="6E916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3102" w:type="pct"/>
            <w:shd w:val="clear" w:color="auto" w:fill="D3D3D3"/>
            <w:vAlign w:val="center"/>
          </w:tcPr>
          <w:p w14:paraId="2ECFD373">
            <w:pPr>
              <w:spacing w:before="40" w:after="40" w:line="240" w:lineRule="exact"/>
              <w:jc w:val="left"/>
              <w:rPr>
                <w:rFonts w:ascii="宋体" w:hAnsi="宋体" w:eastAsia="宋体" w:cs="宋体"/>
                <w:sz w:val="18"/>
                <w:szCs w:val="18"/>
              </w:rPr>
            </w:pPr>
            <w:r>
              <w:rPr>
                <w:rFonts w:ascii="宋体" w:hAnsi="宋体" w:eastAsia="宋体" w:cs="宋体"/>
                <w:sz w:val="18"/>
                <w:szCs w:val="18"/>
              </w:rPr>
              <w:t>除同公司正常经营业务相关的有效套期保值业务外，非金融企业持有金融资产和金融负债产生的公允价值变动损益以及处置金融资产和金融负债产生的损益</w:t>
            </w:r>
          </w:p>
        </w:tc>
        <w:tc>
          <w:tcPr>
            <w:tcW w:w="775" w:type="pct"/>
            <w:vAlign w:val="center"/>
          </w:tcPr>
          <w:p w14:paraId="5AC6A3C0">
            <w:pPr>
              <w:spacing w:before="0" w:after="0" w:line="240" w:lineRule="exact"/>
              <w:jc w:val="right"/>
              <w:rPr>
                <w:rFonts w:ascii="宋体" w:hAnsi="宋体" w:eastAsia="宋体" w:cs="宋体"/>
                <w:sz w:val="18"/>
                <w:szCs w:val="18"/>
              </w:rPr>
            </w:pPr>
            <w:r>
              <w:rPr>
                <w:rFonts w:ascii="宋体" w:hAnsi="宋体" w:eastAsia="宋体" w:cs="宋体"/>
                <w:sz w:val="18"/>
                <w:szCs w:val="18"/>
              </w:rPr>
              <w:t>2,644,529.32</w:t>
            </w:r>
          </w:p>
        </w:tc>
        <w:tc>
          <w:tcPr>
            <w:tcW w:w="1121" w:type="pct"/>
            <w:vAlign w:val="center"/>
          </w:tcPr>
          <w:p w14:paraId="654EF494">
            <w:pPr>
              <w:spacing w:before="0" w:after="0" w:line="240" w:lineRule="exact"/>
              <w:jc w:val="left"/>
              <w:rPr>
                <w:rFonts w:ascii="宋体" w:hAnsi="宋体" w:eastAsia="宋体" w:cs="宋体"/>
                <w:sz w:val="18"/>
                <w:szCs w:val="18"/>
              </w:rPr>
            </w:pPr>
            <w:r>
              <w:rPr>
                <w:rFonts w:ascii="宋体" w:hAnsi="宋体" w:eastAsia="宋体" w:cs="宋体"/>
                <w:sz w:val="18"/>
                <w:szCs w:val="18"/>
              </w:rPr>
              <w:t>主要系购买交易性金融资产取得的收益</w:t>
            </w:r>
          </w:p>
        </w:tc>
      </w:tr>
      <w:tr w14:paraId="2F9DF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3102" w:type="pct"/>
            <w:shd w:val="clear" w:color="auto" w:fill="D3D3D3"/>
            <w:vAlign w:val="center"/>
          </w:tcPr>
          <w:p w14:paraId="0CD5A4AC">
            <w:pPr>
              <w:spacing w:before="40" w:after="40" w:line="240" w:lineRule="exact"/>
              <w:jc w:val="left"/>
              <w:rPr>
                <w:rFonts w:ascii="宋体" w:hAnsi="宋体" w:eastAsia="宋体" w:cs="宋体"/>
                <w:sz w:val="18"/>
                <w:szCs w:val="18"/>
              </w:rPr>
            </w:pPr>
            <w:r>
              <w:rPr>
                <w:rFonts w:ascii="宋体" w:hAnsi="宋体" w:eastAsia="宋体" w:cs="宋体"/>
                <w:sz w:val="18"/>
                <w:szCs w:val="18"/>
              </w:rPr>
              <w:t>减：所得税影响额</w:t>
            </w:r>
          </w:p>
        </w:tc>
        <w:tc>
          <w:tcPr>
            <w:tcW w:w="775" w:type="pct"/>
            <w:vAlign w:val="center"/>
          </w:tcPr>
          <w:p w14:paraId="165D583B">
            <w:pPr>
              <w:spacing w:before="0" w:after="0" w:line="240" w:lineRule="exact"/>
              <w:jc w:val="right"/>
              <w:rPr>
                <w:rFonts w:ascii="宋体" w:hAnsi="宋体" w:eastAsia="宋体" w:cs="宋体"/>
                <w:sz w:val="18"/>
                <w:szCs w:val="18"/>
              </w:rPr>
            </w:pPr>
            <w:r>
              <w:rPr>
                <w:rFonts w:ascii="宋体" w:hAnsi="宋体" w:eastAsia="宋体" w:cs="宋体"/>
                <w:sz w:val="18"/>
                <w:szCs w:val="18"/>
              </w:rPr>
              <w:t>676,727.38</w:t>
            </w:r>
          </w:p>
        </w:tc>
        <w:tc>
          <w:tcPr>
            <w:tcW w:w="1121" w:type="pct"/>
            <w:vAlign w:val="center"/>
          </w:tcPr>
          <w:p w14:paraId="34AAC860">
            <w:pPr>
              <w:spacing w:before="0" w:after="0" w:line="240" w:lineRule="exact"/>
              <w:jc w:val="left"/>
              <w:rPr>
                <w:rFonts w:ascii="宋体" w:hAnsi="宋体" w:eastAsia="宋体" w:cs="宋体"/>
                <w:sz w:val="18"/>
                <w:szCs w:val="18"/>
              </w:rPr>
            </w:pPr>
          </w:p>
        </w:tc>
      </w:tr>
      <w:tr w14:paraId="7C87A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3102" w:type="pct"/>
            <w:shd w:val="clear" w:color="auto" w:fill="D3D3D3"/>
            <w:vAlign w:val="center"/>
          </w:tcPr>
          <w:p w14:paraId="3933C41B">
            <w:pPr>
              <w:spacing w:before="40" w:after="40" w:line="240" w:lineRule="exact"/>
              <w:jc w:val="left"/>
              <w:rPr>
                <w:rFonts w:ascii="宋体" w:hAnsi="宋体" w:eastAsia="宋体" w:cs="宋体"/>
                <w:sz w:val="18"/>
                <w:szCs w:val="18"/>
              </w:rPr>
            </w:pPr>
            <w:r>
              <w:rPr>
                <w:rFonts w:ascii="宋体" w:hAnsi="宋体" w:eastAsia="宋体" w:cs="宋体"/>
                <w:sz w:val="18"/>
                <w:szCs w:val="18"/>
              </w:rPr>
              <w:t>合计</w:t>
            </w:r>
          </w:p>
        </w:tc>
        <w:tc>
          <w:tcPr>
            <w:tcW w:w="775" w:type="pct"/>
            <w:vAlign w:val="center"/>
          </w:tcPr>
          <w:p w14:paraId="205550C8">
            <w:pPr>
              <w:spacing w:before="0" w:after="0" w:line="240" w:lineRule="exact"/>
              <w:jc w:val="right"/>
              <w:rPr>
                <w:rFonts w:ascii="宋体" w:hAnsi="宋体" w:eastAsia="宋体" w:cs="宋体"/>
                <w:sz w:val="18"/>
                <w:szCs w:val="18"/>
              </w:rPr>
            </w:pPr>
            <w:r>
              <w:rPr>
                <w:rFonts w:ascii="宋体" w:hAnsi="宋体" w:eastAsia="宋体" w:cs="宋体"/>
                <w:sz w:val="18"/>
                <w:szCs w:val="18"/>
              </w:rPr>
              <w:t>2,030,182.12</w:t>
            </w:r>
          </w:p>
        </w:tc>
        <w:tc>
          <w:tcPr>
            <w:tcW w:w="1121" w:type="pct"/>
            <w:shd w:val="clear" w:color="auto" w:fill="D3D3D3"/>
            <w:vAlign w:val="center"/>
          </w:tcPr>
          <w:p w14:paraId="4E0BDF85">
            <w:pPr>
              <w:spacing w:before="40" w:after="40" w:line="240" w:lineRule="exact"/>
              <w:jc w:val="center"/>
              <w:rPr>
                <w:rFonts w:ascii="宋体" w:hAnsi="宋体" w:eastAsia="宋体" w:cs="宋体"/>
                <w:sz w:val="18"/>
                <w:szCs w:val="18"/>
              </w:rPr>
            </w:pPr>
            <w:r>
              <w:rPr>
                <w:rFonts w:ascii="宋体" w:hAnsi="宋体" w:eastAsia="宋体" w:cs="宋体"/>
                <w:sz w:val="18"/>
                <w:szCs w:val="18"/>
              </w:rPr>
              <w:t>--</w:t>
            </w:r>
          </w:p>
        </w:tc>
      </w:tr>
    </w:tbl>
    <w:p w14:paraId="0377FD2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eastAsia="宋体" w:cs="宋体"/>
          <w:sz w:val="18"/>
          <w:szCs w:val="18"/>
        </w:rPr>
      </w:pPr>
      <w:r>
        <w:rPr>
          <w:rFonts w:ascii="宋体" w:hAnsi="宋体" w:eastAsia="宋体" w:cs="宋体"/>
          <w:sz w:val="18"/>
          <w:szCs w:val="18"/>
        </w:rPr>
        <w:t>其他符合非经常性损益定义的损益项目的具体情况</w:t>
      </w:r>
    </w:p>
    <w:p w14:paraId="0A4E2ED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78BEAAA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eastAsia="宋体" w:cs="宋体"/>
          <w:sz w:val="18"/>
          <w:szCs w:val="18"/>
        </w:rPr>
      </w:pPr>
      <w:r>
        <w:rPr>
          <w:rFonts w:ascii="宋体" w:hAnsi="宋体" w:eastAsia="宋体" w:cs="宋体"/>
          <w:sz w:val="18"/>
          <w:szCs w:val="18"/>
        </w:rPr>
        <w:t>公司不存在其他符合非经常性损益定义的损益项目的具体情况。</w:t>
      </w:r>
    </w:p>
    <w:p w14:paraId="31C4132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eastAsia="宋体" w:cs="宋体"/>
          <w:sz w:val="18"/>
          <w:szCs w:val="18"/>
        </w:rPr>
      </w:pPr>
      <w:r>
        <w:rPr>
          <w:rFonts w:ascii="宋体" w:hAnsi="宋体" w:eastAsia="宋体" w:cs="宋体"/>
          <w:sz w:val="18"/>
          <w:szCs w:val="18"/>
        </w:rPr>
        <w:t>将《公开发行证券的公司信息披露解释性公告第1号——非经常性损益》中列举的非经常性损益项目界定为经常性损益项目的情况说明
</w:t>
      </w:r>
    </w:p>
    <w:p w14:paraId="1AE7747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0E465CF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eastAsia="宋体" w:cs="宋体"/>
          <w:sz w:val="18"/>
          <w:szCs w:val="18"/>
        </w:rPr>
      </w:pPr>
      <w:r>
        <w:rPr>
          <w:rFonts w:ascii="宋体" w:hAnsi="宋体" w:eastAsia="宋体" w:cs="宋体"/>
          <w:sz w:val="18"/>
          <w:szCs w:val="18"/>
        </w:rPr>
        <w:t>公司不存在将《公开发行证券的公司信息披露解释性公告第1号——非经常性损益》中列举的非经常性损益项目界定为经常性损益的项目的情形。</w:t>
      </w:r>
    </w:p>
    <w:p w14:paraId="5CDE8B1E">
      <w:pPr>
        <w:keepNext/>
        <w:keepLines/>
        <w:spacing w:before="300" w:after="300" w:line="280" w:lineRule="exact"/>
        <w:jc w:val="left"/>
        <w:outlineLvl w:val="1"/>
        <w:rPr>
          <w:rFonts w:ascii="宋体" w:hAnsi="宋体" w:eastAsia="宋体" w:cs="宋体"/>
          <w:b/>
          <w:bCs/>
          <w:sz w:val="21"/>
          <w:szCs w:val="21"/>
        </w:rPr>
      </w:pPr>
      <w:bookmarkStart w:id="3" w:name="_Toc988892"/>
      <w:r>
        <w:rPr>
          <w:rFonts w:ascii="宋体" w:hAnsi="宋体" w:eastAsia="宋体" w:cs="宋体"/>
          <w:b/>
          <w:bCs/>
          <w:sz w:val="21"/>
          <w:szCs w:val="21"/>
        </w:rPr>
        <w:t>（三）主要会计数据和财务指标发生变动的情况及原因</w:t>
      </w:r>
      <w:bookmarkEnd w:id="3"/>
    </w:p>
    <w:p w14:paraId="24FB4410">
      <w:pPr>
        <w:spacing w:before="100" w:after="100" w:line="40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适用 □不适用</w:t>
      </w:r>
    </w:p>
    <w:p w14:paraId="53BFB69D">
      <w:pPr>
        <w:spacing w:before="0" w:after="0" w:line="240" w:lineRule="exact"/>
        <w:jc w:val="left"/>
        <w:rPr>
          <w:rFonts w:hint="eastAsia" w:ascii="宋体" w:hAnsi="宋体" w:eastAsia="宋体" w:cs="宋体"/>
          <w:sz w:val="18"/>
          <w:szCs w:val="18"/>
        </w:rPr>
      </w:pPr>
      <w:r>
        <w:rPr>
          <w:rFonts w:hint="eastAsia" w:ascii="宋体" w:hAnsi="宋体" w:eastAsia="宋体" w:cs="宋体"/>
          <w:sz w:val="18"/>
          <w:szCs w:val="18"/>
          <w:lang w:val="en-US" w:eastAsia="zh-CN"/>
        </w:rPr>
        <w:t>一、</w:t>
      </w:r>
      <w:r>
        <w:rPr>
          <w:rFonts w:hint="eastAsia" w:ascii="宋体" w:hAnsi="宋体" w:eastAsia="宋体" w:cs="宋体"/>
          <w:sz w:val="18"/>
          <w:szCs w:val="18"/>
        </w:rPr>
        <w:t>资产负债表项目</w:t>
      </w:r>
    </w:p>
    <w:p w14:paraId="6144EDBD">
      <w:pPr>
        <w:spacing w:before="0" w:after="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49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1709"/>
        <w:gridCol w:w="1665"/>
        <w:gridCol w:w="1740"/>
        <w:gridCol w:w="1155"/>
        <w:gridCol w:w="3383"/>
      </w:tblGrid>
      <w:tr w14:paraId="1249A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3" w:hRule="atLeast"/>
        </w:trPr>
        <w:tc>
          <w:tcPr>
            <w:tcW w:w="885" w:type="pct"/>
            <w:shd w:val="clear" w:color="auto" w:fill="BEBEBE" w:themeFill="background1" w:themeFillShade="BF"/>
            <w:tcMar>
              <w:top w:w="15" w:type="dxa"/>
              <w:left w:w="15" w:type="dxa"/>
              <w:right w:w="15" w:type="dxa"/>
            </w:tcMar>
            <w:vAlign w:val="center"/>
          </w:tcPr>
          <w:p w14:paraId="2CF1B6AD">
            <w:pPr>
              <w:keepNext w:val="0"/>
              <w:keepLines w:val="0"/>
              <w:pageBreakBefore w:val="0"/>
              <w:widowControl w:val="0"/>
              <w:kinsoku/>
              <w:wordWrap/>
              <w:overflowPunct/>
              <w:topLinePunct w:val="0"/>
              <w:autoSpaceDE/>
              <w:autoSpaceDN/>
              <w:bidi w:val="0"/>
              <w:adjustRightInd/>
              <w:snapToGrid/>
              <w:spacing w:before="0" w:after="0" w:line="240" w:lineRule="exact"/>
              <w:ind w:left="84" w:leftChars="40" w:right="84" w:rightChars="4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项目</w:t>
            </w:r>
          </w:p>
        </w:tc>
        <w:tc>
          <w:tcPr>
            <w:tcW w:w="862" w:type="pct"/>
            <w:shd w:val="clear" w:color="auto" w:fill="BEBEBE" w:themeFill="background1" w:themeFillShade="BF"/>
            <w:tcMar>
              <w:top w:w="15" w:type="dxa"/>
              <w:left w:w="15" w:type="dxa"/>
              <w:right w:w="15" w:type="dxa"/>
            </w:tcMar>
            <w:vAlign w:val="center"/>
          </w:tcPr>
          <w:p w14:paraId="7482E3F6">
            <w:pPr>
              <w:keepNext w:val="0"/>
              <w:keepLines w:val="0"/>
              <w:pageBreakBefore w:val="0"/>
              <w:widowControl w:val="0"/>
              <w:kinsoku/>
              <w:wordWrap/>
              <w:overflowPunct/>
              <w:topLinePunct w:val="0"/>
              <w:autoSpaceDE/>
              <w:autoSpaceDN/>
              <w:bidi w:val="0"/>
              <w:adjustRightInd/>
              <w:snapToGrid/>
              <w:spacing w:before="0" w:after="0" w:line="240" w:lineRule="exact"/>
              <w:ind w:left="84" w:leftChars="40" w:right="84" w:rightChars="4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2025年3月31日</w:t>
            </w:r>
          </w:p>
        </w:tc>
        <w:tc>
          <w:tcPr>
            <w:tcW w:w="901" w:type="pct"/>
            <w:shd w:val="clear" w:color="auto" w:fill="BEBEBE" w:themeFill="background1" w:themeFillShade="BF"/>
            <w:tcMar>
              <w:top w:w="15" w:type="dxa"/>
              <w:left w:w="15" w:type="dxa"/>
              <w:right w:w="15" w:type="dxa"/>
            </w:tcMar>
            <w:vAlign w:val="center"/>
          </w:tcPr>
          <w:p w14:paraId="100B10FF">
            <w:pPr>
              <w:keepNext w:val="0"/>
              <w:keepLines w:val="0"/>
              <w:pageBreakBefore w:val="0"/>
              <w:widowControl w:val="0"/>
              <w:kinsoku/>
              <w:wordWrap/>
              <w:overflowPunct/>
              <w:topLinePunct w:val="0"/>
              <w:autoSpaceDE/>
              <w:autoSpaceDN/>
              <w:bidi w:val="0"/>
              <w:adjustRightInd/>
              <w:snapToGrid/>
              <w:spacing w:before="0" w:after="0" w:line="240" w:lineRule="exact"/>
              <w:ind w:left="84" w:leftChars="40" w:right="84" w:rightChars="4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2024年12月31日</w:t>
            </w:r>
          </w:p>
        </w:tc>
        <w:tc>
          <w:tcPr>
            <w:tcW w:w="598" w:type="pct"/>
            <w:shd w:val="clear" w:color="auto" w:fill="BEBEBE" w:themeFill="background1" w:themeFillShade="BF"/>
            <w:tcMar>
              <w:top w:w="15" w:type="dxa"/>
              <w:left w:w="15" w:type="dxa"/>
              <w:right w:w="15" w:type="dxa"/>
            </w:tcMar>
            <w:vAlign w:val="center"/>
          </w:tcPr>
          <w:p w14:paraId="11F5E3A2">
            <w:pPr>
              <w:keepNext w:val="0"/>
              <w:keepLines w:val="0"/>
              <w:pageBreakBefore w:val="0"/>
              <w:widowControl w:val="0"/>
              <w:kinsoku/>
              <w:wordWrap/>
              <w:overflowPunct/>
              <w:topLinePunct w:val="0"/>
              <w:autoSpaceDE/>
              <w:autoSpaceDN/>
              <w:bidi w:val="0"/>
              <w:adjustRightInd/>
              <w:snapToGrid/>
              <w:spacing w:before="0" w:after="0" w:line="240" w:lineRule="exact"/>
              <w:ind w:left="84" w:leftChars="40" w:right="84" w:rightChars="4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增减变动率</w:t>
            </w:r>
          </w:p>
        </w:tc>
        <w:tc>
          <w:tcPr>
            <w:tcW w:w="1751" w:type="pct"/>
            <w:shd w:val="clear" w:color="auto" w:fill="BEBEBE" w:themeFill="background1" w:themeFillShade="BF"/>
            <w:tcMar>
              <w:top w:w="15" w:type="dxa"/>
              <w:left w:w="15" w:type="dxa"/>
              <w:right w:w="15" w:type="dxa"/>
            </w:tcMar>
            <w:vAlign w:val="center"/>
          </w:tcPr>
          <w:p w14:paraId="6B17A366">
            <w:pPr>
              <w:keepNext w:val="0"/>
              <w:keepLines w:val="0"/>
              <w:pageBreakBefore w:val="0"/>
              <w:widowControl w:val="0"/>
              <w:kinsoku/>
              <w:wordWrap/>
              <w:overflowPunct/>
              <w:topLinePunct w:val="0"/>
              <w:autoSpaceDE/>
              <w:autoSpaceDN/>
              <w:bidi w:val="0"/>
              <w:adjustRightInd/>
              <w:snapToGrid/>
              <w:spacing w:before="0" w:after="0" w:line="240" w:lineRule="exact"/>
              <w:ind w:left="84" w:leftChars="40" w:right="84" w:rightChars="4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情况说明、主要原因分析</w:t>
            </w:r>
          </w:p>
        </w:tc>
      </w:tr>
      <w:tr w14:paraId="65A75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3" w:hRule="atLeast"/>
        </w:trPr>
        <w:tc>
          <w:tcPr>
            <w:tcW w:w="885" w:type="pct"/>
            <w:shd w:val="clear" w:color="auto" w:fill="auto"/>
            <w:tcMar>
              <w:top w:w="15" w:type="dxa"/>
              <w:left w:w="15" w:type="dxa"/>
              <w:right w:w="15" w:type="dxa"/>
            </w:tcMar>
            <w:vAlign w:val="center"/>
          </w:tcPr>
          <w:p w14:paraId="77630A2C">
            <w:pPr>
              <w:keepNext w:val="0"/>
              <w:keepLines w:val="0"/>
              <w:pageBreakBefore w:val="0"/>
              <w:widowControl w:val="0"/>
              <w:kinsoku/>
              <w:wordWrap/>
              <w:overflowPunct/>
              <w:topLinePunct w:val="0"/>
              <w:autoSpaceDE/>
              <w:autoSpaceDN/>
              <w:bidi w:val="0"/>
              <w:adjustRightInd/>
              <w:snapToGrid/>
              <w:spacing w:before="0" w:after="0" w:line="240" w:lineRule="exact"/>
              <w:ind w:left="84" w:leftChars="40" w:right="84" w:rightChars="40"/>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应收账款</w:t>
            </w:r>
          </w:p>
        </w:tc>
        <w:tc>
          <w:tcPr>
            <w:tcW w:w="862" w:type="pct"/>
            <w:shd w:val="clear" w:color="auto" w:fill="auto"/>
            <w:tcMar>
              <w:top w:w="15" w:type="dxa"/>
              <w:left w:w="15" w:type="dxa"/>
              <w:right w:w="15" w:type="dxa"/>
            </w:tcMar>
            <w:vAlign w:val="center"/>
          </w:tcPr>
          <w:p w14:paraId="7A8F44A7">
            <w:pPr>
              <w:keepNext w:val="0"/>
              <w:keepLines w:val="0"/>
              <w:pageBreakBefore w:val="0"/>
              <w:widowControl w:val="0"/>
              <w:kinsoku/>
              <w:wordWrap/>
              <w:overflowPunct/>
              <w:topLinePunct w:val="0"/>
              <w:autoSpaceDE/>
              <w:autoSpaceDN/>
              <w:bidi w:val="0"/>
              <w:adjustRightInd/>
              <w:snapToGrid/>
              <w:spacing w:before="0" w:after="0" w:line="240" w:lineRule="exact"/>
              <w:ind w:left="84" w:leftChars="40" w:right="84" w:rightChars="40"/>
              <w:jc w:val="righ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15,895,524.00</w:t>
            </w:r>
          </w:p>
        </w:tc>
        <w:tc>
          <w:tcPr>
            <w:tcW w:w="901" w:type="pct"/>
            <w:shd w:val="clear" w:color="auto" w:fill="auto"/>
            <w:tcMar>
              <w:top w:w="15" w:type="dxa"/>
              <w:left w:w="15" w:type="dxa"/>
              <w:right w:w="15" w:type="dxa"/>
            </w:tcMar>
            <w:vAlign w:val="center"/>
          </w:tcPr>
          <w:p w14:paraId="21A36D4B">
            <w:pPr>
              <w:keepNext w:val="0"/>
              <w:keepLines w:val="0"/>
              <w:pageBreakBefore w:val="0"/>
              <w:widowControl w:val="0"/>
              <w:kinsoku/>
              <w:wordWrap/>
              <w:overflowPunct/>
              <w:topLinePunct w:val="0"/>
              <w:autoSpaceDE/>
              <w:autoSpaceDN/>
              <w:bidi w:val="0"/>
              <w:adjustRightInd/>
              <w:snapToGrid/>
              <w:spacing w:before="0" w:after="0" w:line="240" w:lineRule="exact"/>
              <w:ind w:left="84" w:leftChars="40" w:right="84" w:rightChars="40"/>
              <w:jc w:val="righ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8,634,968.12</w:t>
            </w:r>
          </w:p>
        </w:tc>
        <w:tc>
          <w:tcPr>
            <w:tcW w:w="598" w:type="pct"/>
            <w:shd w:val="clear" w:color="auto" w:fill="auto"/>
            <w:tcMar>
              <w:top w:w="15" w:type="dxa"/>
              <w:left w:w="15" w:type="dxa"/>
              <w:right w:w="15" w:type="dxa"/>
            </w:tcMar>
            <w:vAlign w:val="center"/>
          </w:tcPr>
          <w:p w14:paraId="23197889">
            <w:pPr>
              <w:keepNext w:val="0"/>
              <w:keepLines w:val="0"/>
              <w:pageBreakBefore w:val="0"/>
              <w:widowControl w:val="0"/>
              <w:kinsoku/>
              <w:wordWrap/>
              <w:overflowPunct/>
              <w:topLinePunct w:val="0"/>
              <w:autoSpaceDE/>
              <w:autoSpaceDN/>
              <w:bidi w:val="0"/>
              <w:adjustRightInd/>
              <w:snapToGrid/>
              <w:spacing w:before="0" w:after="0" w:line="240" w:lineRule="exact"/>
              <w:ind w:left="84" w:leftChars="40" w:right="84" w:rightChars="40"/>
              <w:jc w:val="righ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84.08%</w:t>
            </w:r>
          </w:p>
        </w:tc>
        <w:tc>
          <w:tcPr>
            <w:tcW w:w="1751" w:type="pct"/>
            <w:shd w:val="clear" w:color="auto" w:fill="auto"/>
            <w:tcMar>
              <w:top w:w="15" w:type="dxa"/>
              <w:left w:w="15" w:type="dxa"/>
              <w:right w:w="15" w:type="dxa"/>
            </w:tcMar>
            <w:vAlign w:val="center"/>
          </w:tcPr>
          <w:p w14:paraId="24EFFA37">
            <w:pPr>
              <w:keepNext w:val="0"/>
              <w:keepLines w:val="0"/>
              <w:pageBreakBefore w:val="0"/>
              <w:widowControl w:val="0"/>
              <w:kinsoku/>
              <w:wordWrap/>
              <w:overflowPunct/>
              <w:topLinePunct w:val="0"/>
              <w:autoSpaceDE/>
              <w:autoSpaceDN/>
              <w:bidi w:val="0"/>
              <w:adjustRightInd/>
              <w:snapToGrid/>
              <w:spacing w:before="0" w:after="0" w:line="240" w:lineRule="exact"/>
              <w:ind w:left="84" w:leftChars="40" w:right="84" w:rightChars="40"/>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主要系在正常信用账期内待收回的款项</w:t>
            </w:r>
          </w:p>
        </w:tc>
      </w:tr>
      <w:tr w14:paraId="27ACF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3" w:hRule="atLeast"/>
        </w:trPr>
        <w:tc>
          <w:tcPr>
            <w:tcW w:w="885" w:type="pct"/>
            <w:shd w:val="clear" w:color="auto" w:fill="auto"/>
            <w:tcMar>
              <w:top w:w="15" w:type="dxa"/>
              <w:left w:w="15" w:type="dxa"/>
              <w:right w:w="15" w:type="dxa"/>
            </w:tcMar>
            <w:vAlign w:val="center"/>
          </w:tcPr>
          <w:p w14:paraId="4A1B009F">
            <w:pPr>
              <w:keepNext w:val="0"/>
              <w:keepLines w:val="0"/>
              <w:pageBreakBefore w:val="0"/>
              <w:widowControl w:val="0"/>
              <w:kinsoku/>
              <w:wordWrap/>
              <w:overflowPunct/>
              <w:topLinePunct w:val="0"/>
              <w:autoSpaceDE/>
              <w:autoSpaceDN/>
              <w:bidi w:val="0"/>
              <w:adjustRightInd/>
              <w:snapToGrid/>
              <w:spacing w:before="0" w:after="0" w:line="240" w:lineRule="exact"/>
              <w:ind w:left="84" w:leftChars="40" w:right="84" w:rightChars="40"/>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预付款项</w:t>
            </w:r>
          </w:p>
        </w:tc>
        <w:tc>
          <w:tcPr>
            <w:tcW w:w="862" w:type="pct"/>
            <w:shd w:val="clear" w:color="auto" w:fill="auto"/>
            <w:tcMar>
              <w:top w:w="15" w:type="dxa"/>
              <w:left w:w="15" w:type="dxa"/>
              <w:right w:w="15" w:type="dxa"/>
            </w:tcMar>
            <w:vAlign w:val="center"/>
          </w:tcPr>
          <w:p w14:paraId="53E3B4AB">
            <w:pPr>
              <w:keepNext w:val="0"/>
              <w:keepLines w:val="0"/>
              <w:pageBreakBefore w:val="0"/>
              <w:widowControl w:val="0"/>
              <w:kinsoku/>
              <w:wordWrap/>
              <w:overflowPunct/>
              <w:topLinePunct w:val="0"/>
              <w:autoSpaceDE/>
              <w:autoSpaceDN/>
              <w:bidi w:val="0"/>
              <w:adjustRightInd/>
              <w:snapToGrid/>
              <w:spacing w:before="0" w:after="0" w:line="240" w:lineRule="exact"/>
              <w:ind w:left="84" w:leftChars="40" w:right="84" w:rightChars="40"/>
              <w:jc w:val="righ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1,637,719.48</w:t>
            </w:r>
          </w:p>
        </w:tc>
        <w:tc>
          <w:tcPr>
            <w:tcW w:w="901" w:type="pct"/>
            <w:shd w:val="clear" w:color="auto" w:fill="auto"/>
            <w:tcMar>
              <w:top w:w="15" w:type="dxa"/>
              <w:left w:w="15" w:type="dxa"/>
              <w:right w:w="15" w:type="dxa"/>
            </w:tcMar>
            <w:vAlign w:val="center"/>
          </w:tcPr>
          <w:p w14:paraId="4D6D04D9">
            <w:pPr>
              <w:keepNext w:val="0"/>
              <w:keepLines w:val="0"/>
              <w:pageBreakBefore w:val="0"/>
              <w:widowControl w:val="0"/>
              <w:kinsoku/>
              <w:wordWrap/>
              <w:overflowPunct/>
              <w:topLinePunct w:val="0"/>
              <w:autoSpaceDE/>
              <w:autoSpaceDN/>
              <w:bidi w:val="0"/>
              <w:adjustRightInd/>
              <w:snapToGrid/>
              <w:spacing w:before="0" w:after="0" w:line="240" w:lineRule="exact"/>
              <w:ind w:left="84" w:leftChars="40" w:right="84" w:rightChars="40"/>
              <w:jc w:val="righ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641,148.09</w:t>
            </w:r>
          </w:p>
        </w:tc>
        <w:tc>
          <w:tcPr>
            <w:tcW w:w="598" w:type="pct"/>
            <w:shd w:val="clear" w:color="auto" w:fill="auto"/>
            <w:tcMar>
              <w:top w:w="15" w:type="dxa"/>
              <w:left w:w="15" w:type="dxa"/>
              <w:right w:w="15" w:type="dxa"/>
            </w:tcMar>
            <w:vAlign w:val="center"/>
          </w:tcPr>
          <w:p w14:paraId="699A48A7">
            <w:pPr>
              <w:keepNext w:val="0"/>
              <w:keepLines w:val="0"/>
              <w:pageBreakBefore w:val="0"/>
              <w:widowControl w:val="0"/>
              <w:kinsoku/>
              <w:wordWrap/>
              <w:overflowPunct/>
              <w:topLinePunct w:val="0"/>
              <w:autoSpaceDE/>
              <w:autoSpaceDN/>
              <w:bidi w:val="0"/>
              <w:adjustRightInd/>
              <w:snapToGrid/>
              <w:spacing w:before="0" w:after="0" w:line="240" w:lineRule="exact"/>
              <w:ind w:left="84" w:leftChars="40" w:right="84" w:rightChars="40"/>
              <w:jc w:val="righ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155.44%</w:t>
            </w:r>
          </w:p>
        </w:tc>
        <w:tc>
          <w:tcPr>
            <w:tcW w:w="1751" w:type="pct"/>
            <w:shd w:val="clear" w:color="auto" w:fill="auto"/>
            <w:tcMar>
              <w:top w:w="15" w:type="dxa"/>
              <w:left w:w="15" w:type="dxa"/>
              <w:right w:w="15" w:type="dxa"/>
            </w:tcMar>
            <w:vAlign w:val="center"/>
          </w:tcPr>
          <w:p w14:paraId="794A3A4E">
            <w:pPr>
              <w:keepNext w:val="0"/>
              <w:keepLines w:val="0"/>
              <w:pageBreakBefore w:val="0"/>
              <w:widowControl w:val="0"/>
              <w:kinsoku/>
              <w:wordWrap/>
              <w:overflowPunct/>
              <w:topLinePunct w:val="0"/>
              <w:autoSpaceDE/>
              <w:autoSpaceDN/>
              <w:bidi w:val="0"/>
              <w:adjustRightInd/>
              <w:snapToGrid/>
              <w:spacing w:before="0" w:after="0" w:line="240" w:lineRule="exact"/>
              <w:ind w:left="84" w:leftChars="40" w:right="84" w:rightChars="40"/>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主要系预付的材料款增加所致</w:t>
            </w:r>
          </w:p>
        </w:tc>
      </w:tr>
      <w:tr w14:paraId="7A9F1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3" w:hRule="atLeast"/>
        </w:trPr>
        <w:tc>
          <w:tcPr>
            <w:tcW w:w="885" w:type="pct"/>
            <w:shd w:val="clear" w:color="auto" w:fill="auto"/>
            <w:tcMar>
              <w:top w:w="15" w:type="dxa"/>
              <w:left w:w="15" w:type="dxa"/>
              <w:right w:w="15" w:type="dxa"/>
            </w:tcMar>
            <w:vAlign w:val="center"/>
          </w:tcPr>
          <w:p w14:paraId="3096B5AE">
            <w:pPr>
              <w:keepNext w:val="0"/>
              <w:keepLines w:val="0"/>
              <w:pageBreakBefore w:val="0"/>
              <w:widowControl w:val="0"/>
              <w:kinsoku/>
              <w:wordWrap/>
              <w:overflowPunct/>
              <w:topLinePunct w:val="0"/>
              <w:autoSpaceDE/>
              <w:autoSpaceDN/>
              <w:bidi w:val="0"/>
              <w:adjustRightInd/>
              <w:snapToGrid/>
              <w:spacing w:before="0" w:after="0" w:line="240" w:lineRule="exact"/>
              <w:ind w:left="84" w:leftChars="40" w:right="84" w:rightChars="40"/>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其他应收账款</w:t>
            </w:r>
          </w:p>
        </w:tc>
        <w:tc>
          <w:tcPr>
            <w:tcW w:w="862" w:type="pct"/>
            <w:shd w:val="clear" w:color="auto" w:fill="auto"/>
            <w:tcMar>
              <w:top w:w="15" w:type="dxa"/>
              <w:left w:w="15" w:type="dxa"/>
              <w:right w:w="15" w:type="dxa"/>
            </w:tcMar>
            <w:vAlign w:val="center"/>
          </w:tcPr>
          <w:p w14:paraId="0FA9BE92">
            <w:pPr>
              <w:keepNext w:val="0"/>
              <w:keepLines w:val="0"/>
              <w:pageBreakBefore w:val="0"/>
              <w:widowControl w:val="0"/>
              <w:kinsoku/>
              <w:wordWrap/>
              <w:overflowPunct/>
              <w:topLinePunct w:val="0"/>
              <w:autoSpaceDE/>
              <w:autoSpaceDN/>
              <w:bidi w:val="0"/>
              <w:adjustRightInd/>
              <w:snapToGrid/>
              <w:spacing w:before="0" w:after="0" w:line="240" w:lineRule="exact"/>
              <w:ind w:left="84" w:leftChars="40" w:right="84" w:rightChars="40"/>
              <w:jc w:val="righ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146,357.60</w:t>
            </w:r>
          </w:p>
        </w:tc>
        <w:tc>
          <w:tcPr>
            <w:tcW w:w="901" w:type="pct"/>
            <w:shd w:val="clear" w:color="auto" w:fill="auto"/>
            <w:tcMar>
              <w:top w:w="15" w:type="dxa"/>
              <w:left w:w="15" w:type="dxa"/>
              <w:right w:w="15" w:type="dxa"/>
            </w:tcMar>
            <w:vAlign w:val="center"/>
          </w:tcPr>
          <w:p w14:paraId="3F65616D">
            <w:pPr>
              <w:keepNext w:val="0"/>
              <w:keepLines w:val="0"/>
              <w:pageBreakBefore w:val="0"/>
              <w:widowControl w:val="0"/>
              <w:kinsoku/>
              <w:wordWrap/>
              <w:overflowPunct/>
              <w:topLinePunct w:val="0"/>
              <w:autoSpaceDE/>
              <w:autoSpaceDN/>
              <w:bidi w:val="0"/>
              <w:adjustRightInd/>
              <w:snapToGrid/>
              <w:spacing w:before="0" w:after="0" w:line="240" w:lineRule="exact"/>
              <w:ind w:left="84" w:leftChars="40" w:right="84" w:rightChars="40"/>
              <w:jc w:val="righ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76,849.40</w:t>
            </w:r>
          </w:p>
        </w:tc>
        <w:tc>
          <w:tcPr>
            <w:tcW w:w="598" w:type="pct"/>
            <w:shd w:val="clear" w:color="auto" w:fill="auto"/>
            <w:tcMar>
              <w:top w:w="15" w:type="dxa"/>
              <w:left w:w="15" w:type="dxa"/>
              <w:right w:w="15" w:type="dxa"/>
            </w:tcMar>
            <w:vAlign w:val="center"/>
          </w:tcPr>
          <w:p w14:paraId="14B04C16">
            <w:pPr>
              <w:keepNext w:val="0"/>
              <w:keepLines w:val="0"/>
              <w:pageBreakBefore w:val="0"/>
              <w:widowControl w:val="0"/>
              <w:kinsoku/>
              <w:wordWrap/>
              <w:overflowPunct/>
              <w:topLinePunct w:val="0"/>
              <w:autoSpaceDE/>
              <w:autoSpaceDN/>
              <w:bidi w:val="0"/>
              <w:adjustRightInd/>
              <w:snapToGrid/>
              <w:spacing w:before="0" w:after="0" w:line="240" w:lineRule="exact"/>
              <w:ind w:left="84" w:leftChars="40" w:right="84" w:rightChars="40"/>
              <w:jc w:val="righ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90.45%</w:t>
            </w:r>
          </w:p>
        </w:tc>
        <w:tc>
          <w:tcPr>
            <w:tcW w:w="1751" w:type="pct"/>
            <w:shd w:val="clear" w:color="auto" w:fill="auto"/>
            <w:tcMar>
              <w:top w:w="15" w:type="dxa"/>
              <w:left w:w="15" w:type="dxa"/>
              <w:right w:w="15" w:type="dxa"/>
            </w:tcMar>
            <w:vAlign w:val="center"/>
          </w:tcPr>
          <w:p w14:paraId="2BCAA8F6">
            <w:pPr>
              <w:keepNext w:val="0"/>
              <w:keepLines w:val="0"/>
              <w:pageBreakBefore w:val="0"/>
              <w:widowControl w:val="0"/>
              <w:kinsoku/>
              <w:wordWrap/>
              <w:overflowPunct/>
              <w:topLinePunct w:val="0"/>
              <w:autoSpaceDE/>
              <w:autoSpaceDN/>
              <w:bidi w:val="0"/>
              <w:adjustRightInd/>
              <w:snapToGrid/>
              <w:spacing w:before="0" w:after="0" w:line="240" w:lineRule="exact"/>
              <w:ind w:left="84" w:leftChars="40" w:right="84" w:rightChars="40"/>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主要系支付店铺保证金所致</w:t>
            </w:r>
          </w:p>
        </w:tc>
      </w:tr>
      <w:tr w14:paraId="64C55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3" w:hRule="atLeast"/>
        </w:trPr>
        <w:tc>
          <w:tcPr>
            <w:tcW w:w="885" w:type="pct"/>
            <w:shd w:val="clear" w:color="auto" w:fill="auto"/>
            <w:tcMar>
              <w:top w:w="15" w:type="dxa"/>
              <w:left w:w="15" w:type="dxa"/>
              <w:right w:w="15" w:type="dxa"/>
            </w:tcMar>
            <w:vAlign w:val="center"/>
          </w:tcPr>
          <w:p w14:paraId="7B1D0A2E">
            <w:pPr>
              <w:keepNext w:val="0"/>
              <w:keepLines w:val="0"/>
              <w:pageBreakBefore w:val="0"/>
              <w:widowControl w:val="0"/>
              <w:kinsoku/>
              <w:wordWrap/>
              <w:overflowPunct/>
              <w:topLinePunct w:val="0"/>
              <w:autoSpaceDE/>
              <w:autoSpaceDN/>
              <w:bidi w:val="0"/>
              <w:adjustRightInd/>
              <w:snapToGrid/>
              <w:spacing w:before="0" w:after="0" w:line="240" w:lineRule="exact"/>
              <w:ind w:left="84" w:leftChars="40" w:right="84" w:rightChars="40"/>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一年内到期的非流动资产</w:t>
            </w:r>
            <w:bookmarkStart w:id="15" w:name="_GoBack"/>
            <w:bookmarkEnd w:id="15"/>
          </w:p>
        </w:tc>
        <w:tc>
          <w:tcPr>
            <w:tcW w:w="862" w:type="pct"/>
            <w:shd w:val="clear" w:color="auto" w:fill="auto"/>
            <w:tcMar>
              <w:top w:w="15" w:type="dxa"/>
              <w:left w:w="15" w:type="dxa"/>
              <w:right w:w="15" w:type="dxa"/>
            </w:tcMar>
            <w:vAlign w:val="center"/>
          </w:tcPr>
          <w:p w14:paraId="76914203">
            <w:pPr>
              <w:keepNext w:val="0"/>
              <w:keepLines w:val="0"/>
              <w:pageBreakBefore w:val="0"/>
              <w:widowControl w:val="0"/>
              <w:kinsoku/>
              <w:wordWrap/>
              <w:overflowPunct/>
              <w:topLinePunct w:val="0"/>
              <w:autoSpaceDE/>
              <w:autoSpaceDN/>
              <w:bidi w:val="0"/>
              <w:adjustRightInd/>
              <w:snapToGrid/>
              <w:spacing w:before="0" w:after="0" w:line="240" w:lineRule="exact"/>
              <w:ind w:left="84" w:leftChars="40" w:right="84" w:rightChars="40"/>
              <w:jc w:val="righ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100,109,315.07</w:t>
            </w:r>
          </w:p>
        </w:tc>
        <w:tc>
          <w:tcPr>
            <w:tcW w:w="901" w:type="pct"/>
            <w:shd w:val="clear" w:color="auto" w:fill="auto"/>
            <w:tcMar>
              <w:top w:w="15" w:type="dxa"/>
              <w:left w:w="15" w:type="dxa"/>
              <w:right w:w="15" w:type="dxa"/>
            </w:tcMar>
            <w:vAlign w:val="center"/>
          </w:tcPr>
          <w:p w14:paraId="41875B90">
            <w:pPr>
              <w:keepNext w:val="0"/>
              <w:keepLines w:val="0"/>
              <w:pageBreakBefore w:val="0"/>
              <w:widowControl w:val="0"/>
              <w:kinsoku/>
              <w:wordWrap/>
              <w:overflowPunct/>
              <w:topLinePunct w:val="0"/>
              <w:autoSpaceDE/>
              <w:autoSpaceDN/>
              <w:bidi w:val="0"/>
              <w:adjustRightInd/>
              <w:snapToGrid/>
              <w:spacing w:before="0" w:after="0" w:line="240" w:lineRule="exact"/>
              <w:ind w:left="84" w:leftChars="40" w:right="84" w:rightChars="4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p>
        </w:tc>
        <w:tc>
          <w:tcPr>
            <w:tcW w:w="598" w:type="pct"/>
            <w:shd w:val="clear" w:color="auto" w:fill="auto"/>
            <w:tcMar>
              <w:top w:w="15" w:type="dxa"/>
              <w:left w:w="15" w:type="dxa"/>
              <w:right w:w="15" w:type="dxa"/>
            </w:tcMar>
            <w:vAlign w:val="center"/>
          </w:tcPr>
          <w:p w14:paraId="6E858ABD">
            <w:pPr>
              <w:keepNext w:val="0"/>
              <w:keepLines w:val="0"/>
              <w:pageBreakBefore w:val="0"/>
              <w:widowControl w:val="0"/>
              <w:kinsoku/>
              <w:wordWrap/>
              <w:overflowPunct/>
              <w:topLinePunct w:val="0"/>
              <w:autoSpaceDE/>
              <w:autoSpaceDN/>
              <w:bidi w:val="0"/>
              <w:adjustRightInd/>
              <w:snapToGrid/>
              <w:spacing w:before="0" w:after="0" w:line="240" w:lineRule="exact"/>
              <w:ind w:left="84" w:leftChars="40" w:right="84" w:rightChars="40"/>
              <w:jc w:val="righ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100.00%</w:t>
            </w:r>
          </w:p>
        </w:tc>
        <w:tc>
          <w:tcPr>
            <w:tcW w:w="1751" w:type="pct"/>
            <w:shd w:val="clear" w:color="auto" w:fill="auto"/>
            <w:tcMar>
              <w:top w:w="15" w:type="dxa"/>
              <w:left w:w="15" w:type="dxa"/>
              <w:right w:w="15" w:type="dxa"/>
            </w:tcMar>
            <w:vAlign w:val="center"/>
          </w:tcPr>
          <w:p w14:paraId="0E1FA835">
            <w:pPr>
              <w:keepNext w:val="0"/>
              <w:keepLines w:val="0"/>
              <w:pageBreakBefore w:val="0"/>
              <w:widowControl w:val="0"/>
              <w:kinsoku/>
              <w:wordWrap/>
              <w:overflowPunct/>
              <w:topLinePunct w:val="0"/>
              <w:autoSpaceDE/>
              <w:autoSpaceDN/>
              <w:bidi w:val="0"/>
              <w:adjustRightInd/>
              <w:snapToGrid/>
              <w:spacing w:before="0" w:after="0" w:line="240" w:lineRule="exact"/>
              <w:ind w:left="84" w:leftChars="40" w:right="84" w:rightChars="40"/>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主要系一年内到期的大额存单</w:t>
            </w:r>
          </w:p>
        </w:tc>
      </w:tr>
      <w:tr w14:paraId="6A53E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3" w:hRule="atLeast"/>
        </w:trPr>
        <w:tc>
          <w:tcPr>
            <w:tcW w:w="885" w:type="pct"/>
            <w:shd w:val="clear" w:color="auto" w:fill="auto"/>
            <w:tcMar>
              <w:top w:w="15" w:type="dxa"/>
              <w:left w:w="15" w:type="dxa"/>
              <w:right w:w="15" w:type="dxa"/>
            </w:tcMar>
            <w:vAlign w:val="center"/>
          </w:tcPr>
          <w:p w14:paraId="7BFAD3B7">
            <w:pPr>
              <w:keepNext w:val="0"/>
              <w:keepLines w:val="0"/>
              <w:pageBreakBefore w:val="0"/>
              <w:widowControl w:val="0"/>
              <w:kinsoku/>
              <w:wordWrap/>
              <w:overflowPunct/>
              <w:topLinePunct w:val="0"/>
              <w:autoSpaceDE/>
              <w:autoSpaceDN/>
              <w:bidi w:val="0"/>
              <w:adjustRightInd/>
              <w:snapToGrid/>
              <w:spacing w:before="0" w:after="0" w:line="240" w:lineRule="exact"/>
              <w:ind w:left="84" w:leftChars="40" w:right="84" w:rightChars="40"/>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其他流动资产</w:t>
            </w:r>
          </w:p>
        </w:tc>
        <w:tc>
          <w:tcPr>
            <w:tcW w:w="862" w:type="pct"/>
            <w:shd w:val="clear" w:color="auto" w:fill="auto"/>
            <w:tcMar>
              <w:top w:w="15" w:type="dxa"/>
              <w:left w:w="15" w:type="dxa"/>
              <w:right w:w="15" w:type="dxa"/>
            </w:tcMar>
            <w:vAlign w:val="center"/>
          </w:tcPr>
          <w:p w14:paraId="39276942">
            <w:pPr>
              <w:keepNext w:val="0"/>
              <w:keepLines w:val="0"/>
              <w:pageBreakBefore w:val="0"/>
              <w:widowControl w:val="0"/>
              <w:kinsoku/>
              <w:wordWrap/>
              <w:overflowPunct/>
              <w:topLinePunct w:val="0"/>
              <w:autoSpaceDE/>
              <w:autoSpaceDN/>
              <w:bidi w:val="0"/>
              <w:adjustRightInd/>
              <w:snapToGrid/>
              <w:spacing w:before="0" w:after="0" w:line="240" w:lineRule="exact"/>
              <w:ind w:left="84" w:leftChars="40" w:right="84" w:rightChars="40"/>
              <w:jc w:val="righ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10,000,000.00</w:t>
            </w:r>
          </w:p>
        </w:tc>
        <w:tc>
          <w:tcPr>
            <w:tcW w:w="901" w:type="pct"/>
            <w:shd w:val="clear" w:color="auto" w:fill="auto"/>
            <w:tcMar>
              <w:top w:w="15" w:type="dxa"/>
              <w:left w:w="15" w:type="dxa"/>
              <w:right w:w="15" w:type="dxa"/>
            </w:tcMar>
            <w:vAlign w:val="center"/>
          </w:tcPr>
          <w:p w14:paraId="1FC1CF36">
            <w:pPr>
              <w:keepNext w:val="0"/>
              <w:keepLines w:val="0"/>
              <w:pageBreakBefore w:val="0"/>
              <w:widowControl w:val="0"/>
              <w:kinsoku/>
              <w:wordWrap/>
              <w:overflowPunct/>
              <w:topLinePunct w:val="0"/>
              <w:autoSpaceDE/>
              <w:autoSpaceDN/>
              <w:bidi w:val="0"/>
              <w:adjustRightInd/>
              <w:snapToGrid/>
              <w:spacing w:before="0" w:after="0" w:line="240" w:lineRule="exact"/>
              <w:ind w:left="84" w:leftChars="40" w:right="84" w:rightChars="40"/>
              <w:jc w:val="righ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34,679,680.81</w:t>
            </w:r>
          </w:p>
        </w:tc>
        <w:tc>
          <w:tcPr>
            <w:tcW w:w="598" w:type="pct"/>
            <w:shd w:val="clear" w:color="auto" w:fill="auto"/>
            <w:tcMar>
              <w:top w:w="15" w:type="dxa"/>
              <w:left w:w="15" w:type="dxa"/>
              <w:right w:w="15" w:type="dxa"/>
            </w:tcMar>
            <w:vAlign w:val="center"/>
          </w:tcPr>
          <w:p w14:paraId="523BAD74">
            <w:pPr>
              <w:keepNext w:val="0"/>
              <w:keepLines w:val="0"/>
              <w:pageBreakBefore w:val="0"/>
              <w:widowControl w:val="0"/>
              <w:kinsoku/>
              <w:wordWrap/>
              <w:overflowPunct/>
              <w:topLinePunct w:val="0"/>
              <w:autoSpaceDE/>
              <w:autoSpaceDN/>
              <w:bidi w:val="0"/>
              <w:adjustRightInd/>
              <w:snapToGrid/>
              <w:spacing w:before="0" w:after="0" w:line="240" w:lineRule="exact"/>
              <w:ind w:left="84" w:leftChars="40" w:right="84" w:rightChars="40"/>
              <w:jc w:val="righ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-71.16%</w:t>
            </w:r>
          </w:p>
        </w:tc>
        <w:tc>
          <w:tcPr>
            <w:tcW w:w="1751" w:type="pct"/>
            <w:shd w:val="clear" w:color="auto" w:fill="auto"/>
            <w:tcMar>
              <w:top w:w="15" w:type="dxa"/>
              <w:left w:w="15" w:type="dxa"/>
              <w:right w:w="15" w:type="dxa"/>
            </w:tcMar>
            <w:vAlign w:val="center"/>
          </w:tcPr>
          <w:p w14:paraId="4A9673D9">
            <w:pPr>
              <w:keepNext w:val="0"/>
              <w:keepLines w:val="0"/>
              <w:pageBreakBefore w:val="0"/>
              <w:widowControl w:val="0"/>
              <w:kinsoku/>
              <w:wordWrap/>
              <w:overflowPunct/>
              <w:topLinePunct w:val="0"/>
              <w:autoSpaceDE/>
              <w:autoSpaceDN/>
              <w:bidi w:val="0"/>
              <w:adjustRightInd/>
              <w:snapToGrid/>
              <w:spacing w:before="0" w:after="0" w:line="240" w:lineRule="exact"/>
              <w:ind w:left="84" w:leftChars="40" w:right="84" w:rightChars="40"/>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主要系购买国债逆回购产品重分类所致</w:t>
            </w:r>
          </w:p>
        </w:tc>
      </w:tr>
      <w:tr w14:paraId="708AE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3" w:hRule="atLeast"/>
        </w:trPr>
        <w:tc>
          <w:tcPr>
            <w:tcW w:w="885" w:type="pct"/>
            <w:shd w:val="clear" w:color="auto" w:fill="auto"/>
            <w:tcMar>
              <w:top w:w="15" w:type="dxa"/>
              <w:left w:w="15" w:type="dxa"/>
              <w:right w:w="15" w:type="dxa"/>
            </w:tcMar>
            <w:vAlign w:val="center"/>
          </w:tcPr>
          <w:p w14:paraId="6CEE9152">
            <w:pPr>
              <w:keepNext w:val="0"/>
              <w:keepLines w:val="0"/>
              <w:pageBreakBefore w:val="0"/>
              <w:widowControl w:val="0"/>
              <w:kinsoku/>
              <w:wordWrap/>
              <w:overflowPunct/>
              <w:topLinePunct w:val="0"/>
              <w:autoSpaceDE/>
              <w:autoSpaceDN/>
              <w:bidi w:val="0"/>
              <w:adjustRightInd/>
              <w:snapToGrid/>
              <w:spacing w:before="0" w:after="0" w:line="240" w:lineRule="exact"/>
              <w:ind w:left="84" w:leftChars="40" w:right="84" w:rightChars="40"/>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长期股权投资</w:t>
            </w:r>
          </w:p>
        </w:tc>
        <w:tc>
          <w:tcPr>
            <w:tcW w:w="862" w:type="pct"/>
            <w:shd w:val="clear" w:color="auto" w:fill="auto"/>
            <w:tcMar>
              <w:top w:w="15" w:type="dxa"/>
              <w:left w:w="15" w:type="dxa"/>
              <w:right w:w="15" w:type="dxa"/>
            </w:tcMar>
            <w:vAlign w:val="center"/>
          </w:tcPr>
          <w:p w14:paraId="6BA2A47F">
            <w:pPr>
              <w:keepNext w:val="0"/>
              <w:keepLines w:val="0"/>
              <w:pageBreakBefore w:val="0"/>
              <w:widowControl w:val="0"/>
              <w:kinsoku/>
              <w:wordWrap/>
              <w:overflowPunct/>
              <w:topLinePunct w:val="0"/>
              <w:autoSpaceDE/>
              <w:autoSpaceDN/>
              <w:bidi w:val="0"/>
              <w:adjustRightInd/>
              <w:snapToGrid/>
              <w:spacing w:before="0" w:after="0" w:line="240" w:lineRule="exact"/>
              <w:ind w:left="84" w:leftChars="40" w:right="84" w:rightChars="40"/>
              <w:jc w:val="righ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834,291.50</w:t>
            </w:r>
          </w:p>
        </w:tc>
        <w:tc>
          <w:tcPr>
            <w:tcW w:w="901" w:type="pct"/>
            <w:shd w:val="clear" w:color="auto" w:fill="auto"/>
            <w:tcMar>
              <w:top w:w="15" w:type="dxa"/>
              <w:left w:w="15" w:type="dxa"/>
              <w:right w:w="15" w:type="dxa"/>
            </w:tcMar>
            <w:vAlign w:val="center"/>
          </w:tcPr>
          <w:p w14:paraId="24C03143">
            <w:pPr>
              <w:keepNext w:val="0"/>
              <w:keepLines w:val="0"/>
              <w:pageBreakBefore w:val="0"/>
              <w:widowControl w:val="0"/>
              <w:kinsoku/>
              <w:wordWrap/>
              <w:overflowPunct/>
              <w:topLinePunct w:val="0"/>
              <w:autoSpaceDE/>
              <w:autoSpaceDN/>
              <w:bidi w:val="0"/>
              <w:adjustRightInd/>
              <w:snapToGrid/>
              <w:spacing w:before="0" w:after="0" w:line="240" w:lineRule="exact"/>
              <w:ind w:left="84" w:leftChars="40" w:right="84" w:rightChars="40"/>
              <w:jc w:val="righ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2,898,179.03</w:t>
            </w:r>
          </w:p>
        </w:tc>
        <w:tc>
          <w:tcPr>
            <w:tcW w:w="598" w:type="pct"/>
            <w:shd w:val="clear" w:color="auto" w:fill="auto"/>
            <w:tcMar>
              <w:top w:w="15" w:type="dxa"/>
              <w:left w:w="15" w:type="dxa"/>
              <w:right w:w="15" w:type="dxa"/>
            </w:tcMar>
            <w:vAlign w:val="center"/>
          </w:tcPr>
          <w:p w14:paraId="76C9396D">
            <w:pPr>
              <w:keepNext w:val="0"/>
              <w:keepLines w:val="0"/>
              <w:pageBreakBefore w:val="0"/>
              <w:widowControl w:val="0"/>
              <w:kinsoku/>
              <w:wordWrap/>
              <w:overflowPunct/>
              <w:topLinePunct w:val="0"/>
              <w:autoSpaceDE/>
              <w:autoSpaceDN/>
              <w:bidi w:val="0"/>
              <w:adjustRightInd/>
              <w:snapToGrid/>
              <w:spacing w:before="0" w:after="0" w:line="240" w:lineRule="exact"/>
              <w:ind w:left="84" w:leftChars="40" w:right="84" w:rightChars="40"/>
              <w:jc w:val="righ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-71.21%</w:t>
            </w:r>
          </w:p>
        </w:tc>
        <w:tc>
          <w:tcPr>
            <w:tcW w:w="1751" w:type="pct"/>
            <w:shd w:val="clear" w:color="auto" w:fill="auto"/>
            <w:tcMar>
              <w:top w:w="15" w:type="dxa"/>
              <w:left w:w="15" w:type="dxa"/>
              <w:right w:w="15" w:type="dxa"/>
            </w:tcMar>
            <w:vAlign w:val="center"/>
          </w:tcPr>
          <w:p w14:paraId="0E5249F2">
            <w:pPr>
              <w:keepNext w:val="0"/>
              <w:keepLines w:val="0"/>
              <w:pageBreakBefore w:val="0"/>
              <w:widowControl w:val="0"/>
              <w:kinsoku/>
              <w:wordWrap/>
              <w:overflowPunct/>
              <w:topLinePunct w:val="0"/>
              <w:autoSpaceDE/>
              <w:autoSpaceDN/>
              <w:bidi w:val="0"/>
              <w:adjustRightInd/>
              <w:snapToGrid/>
              <w:spacing w:before="0" w:after="0" w:line="240" w:lineRule="exact"/>
              <w:ind w:left="84" w:leftChars="40" w:right="84" w:rightChars="40"/>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主要系合营企业的投资损益所致</w:t>
            </w:r>
          </w:p>
        </w:tc>
      </w:tr>
      <w:tr w14:paraId="57543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3" w:hRule="atLeast"/>
        </w:trPr>
        <w:tc>
          <w:tcPr>
            <w:tcW w:w="885" w:type="pct"/>
            <w:shd w:val="clear" w:color="auto" w:fill="auto"/>
            <w:tcMar>
              <w:top w:w="15" w:type="dxa"/>
              <w:left w:w="15" w:type="dxa"/>
              <w:right w:w="15" w:type="dxa"/>
            </w:tcMar>
            <w:vAlign w:val="center"/>
          </w:tcPr>
          <w:p w14:paraId="206C8C15">
            <w:pPr>
              <w:keepNext w:val="0"/>
              <w:keepLines w:val="0"/>
              <w:pageBreakBefore w:val="0"/>
              <w:widowControl w:val="0"/>
              <w:kinsoku/>
              <w:wordWrap/>
              <w:overflowPunct/>
              <w:topLinePunct w:val="0"/>
              <w:autoSpaceDE/>
              <w:autoSpaceDN/>
              <w:bidi w:val="0"/>
              <w:adjustRightInd/>
              <w:snapToGrid/>
              <w:spacing w:before="0" w:after="0" w:line="240" w:lineRule="exact"/>
              <w:ind w:left="84" w:leftChars="40" w:right="84" w:rightChars="40"/>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在建工程</w:t>
            </w:r>
          </w:p>
        </w:tc>
        <w:tc>
          <w:tcPr>
            <w:tcW w:w="862" w:type="pct"/>
            <w:shd w:val="clear" w:color="auto" w:fill="auto"/>
            <w:tcMar>
              <w:top w:w="15" w:type="dxa"/>
              <w:left w:w="15" w:type="dxa"/>
              <w:right w:w="15" w:type="dxa"/>
            </w:tcMar>
            <w:vAlign w:val="center"/>
          </w:tcPr>
          <w:p w14:paraId="529166FF">
            <w:pPr>
              <w:keepNext w:val="0"/>
              <w:keepLines w:val="0"/>
              <w:pageBreakBefore w:val="0"/>
              <w:widowControl w:val="0"/>
              <w:kinsoku/>
              <w:wordWrap/>
              <w:overflowPunct/>
              <w:topLinePunct w:val="0"/>
              <w:autoSpaceDE/>
              <w:autoSpaceDN/>
              <w:bidi w:val="0"/>
              <w:adjustRightInd/>
              <w:snapToGrid/>
              <w:spacing w:before="0" w:after="0" w:line="240" w:lineRule="exact"/>
              <w:ind w:left="84" w:leftChars="40" w:right="84" w:rightChars="40"/>
              <w:jc w:val="righ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322,925.26</w:t>
            </w:r>
          </w:p>
        </w:tc>
        <w:tc>
          <w:tcPr>
            <w:tcW w:w="901" w:type="pct"/>
            <w:shd w:val="clear" w:color="auto" w:fill="auto"/>
            <w:tcMar>
              <w:top w:w="15" w:type="dxa"/>
              <w:left w:w="15" w:type="dxa"/>
              <w:right w:w="15" w:type="dxa"/>
            </w:tcMar>
            <w:vAlign w:val="center"/>
          </w:tcPr>
          <w:p w14:paraId="330FC7A4">
            <w:pPr>
              <w:keepNext w:val="0"/>
              <w:keepLines w:val="0"/>
              <w:pageBreakBefore w:val="0"/>
              <w:widowControl w:val="0"/>
              <w:kinsoku/>
              <w:wordWrap/>
              <w:overflowPunct/>
              <w:topLinePunct w:val="0"/>
              <w:autoSpaceDE/>
              <w:autoSpaceDN/>
              <w:bidi w:val="0"/>
              <w:adjustRightInd/>
              <w:snapToGrid/>
              <w:spacing w:before="0" w:after="0" w:line="240" w:lineRule="exact"/>
              <w:ind w:left="84" w:leftChars="40" w:right="84" w:rightChars="40"/>
              <w:jc w:val="righ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1,382,217.29</w:t>
            </w:r>
          </w:p>
        </w:tc>
        <w:tc>
          <w:tcPr>
            <w:tcW w:w="598" w:type="pct"/>
            <w:shd w:val="clear" w:color="auto" w:fill="auto"/>
            <w:tcMar>
              <w:top w:w="15" w:type="dxa"/>
              <w:left w:w="15" w:type="dxa"/>
              <w:right w:w="15" w:type="dxa"/>
            </w:tcMar>
            <w:vAlign w:val="center"/>
          </w:tcPr>
          <w:p w14:paraId="1104296A">
            <w:pPr>
              <w:keepNext w:val="0"/>
              <w:keepLines w:val="0"/>
              <w:pageBreakBefore w:val="0"/>
              <w:widowControl w:val="0"/>
              <w:kinsoku/>
              <w:wordWrap/>
              <w:overflowPunct/>
              <w:topLinePunct w:val="0"/>
              <w:autoSpaceDE/>
              <w:autoSpaceDN/>
              <w:bidi w:val="0"/>
              <w:adjustRightInd/>
              <w:snapToGrid/>
              <w:spacing w:before="0" w:after="0" w:line="240" w:lineRule="exact"/>
              <w:ind w:left="84" w:leftChars="40" w:right="84" w:rightChars="40"/>
              <w:jc w:val="righ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-76.64%</w:t>
            </w:r>
          </w:p>
        </w:tc>
        <w:tc>
          <w:tcPr>
            <w:tcW w:w="1751" w:type="pct"/>
            <w:shd w:val="clear" w:color="auto" w:fill="auto"/>
            <w:tcMar>
              <w:top w:w="15" w:type="dxa"/>
              <w:left w:w="15" w:type="dxa"/>
              <w:right w:w="15" w:type="dxa"/>
            </w:tcMar>
            <w:vAlign w:val="center"/>
          </w:tcPr>
          <w:p w14:paraId="24C5FFD9">
            <w:pPr>
              <w:keepNext w:val="0"/>
              <w:keepLines w:val="0"/>
              <w:pageBreakBefore w:val="0"/>
              <w:widowControl w:val="0"/>
              <w:kinsoku/>
              <w:wordWrap/>
              <w:overflowPunct/>
              <w:topLinePunct w:val="0"/>
              <w:autoSpaceDE/>
              <w:autoSpaceDN/>
              <w:bidi w:val="0"/>
              <w:adjustRightInd/>
              <w:snapToGrid/>
              <w:spacing w:before="0" w:after="0" w:line="240" w:lineRule="exact"/>
              <w:ind w:left="84" w:leftChars="40" w:right="84" w:rightChars="40"/>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主要系前期在建工程转为固定资产所致</w:t>
            </w:r>
          </w:p>
        </w:tc>
      </w:tr>
      <w:tr w14:paraId="774F8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3" w:hRule="atLeast"/>
        </w:trPr>
        <w:tc>
          <w:tcPr>
            <w:tcW w:w="885" w:type="pct"/>
            <w:shd w:val="clear" w:color="auto" w:fill="auto"/>
            <w:tcMar>
              <w:top w:w="15" w:type="dxa"/>
              <w:left w:w="15" w:type="dxa"/>
              <w:right w:w="15" w:type="dxa"/>
            </w:tcMar>
            <w:vAlign w:val="center"/>
          </w:tcPr>
          <w:p w14:paraId="48D58FD1">
            <w:pPr>
              <w:keepNext w:val="0"/>
              <w:keepLines w:val="0"/>
              <w:pageBreakBefore w:val="0"/>
              <w:widowControl w:val="0"/>
              <w:kinsoku/>
              <w:wordWrap/>
              <w:overflowPunct/>
              <w:topLinePunct w:val="0"/>
              <w:autoSpaceDE/>
              <w:autoSpaceDN/>
              <w:bidi w:val="0"/>
              <w:adjustRightInd/>
              <w:snapToGrid/>
              <w:spacing w:before="0" w:after="0" w:line="240" w:lineRule="exact"/>
              <w:ind w:left="84" w:leftChars="40" w:right="84" w:rightChars="40"/>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应付票据</w:t>
            </w:r>
          </w:p>
        </w:tc>
        <w:tc>
          <w:tcPr>
            <w:tcW w:w="862" w:type="pct"/>
            <w:shd w:val="clear" w:color="auto" w:fill="auto"/>
            <w:tcMar>
              <w:top w:w="15" w:type="dxa"/>
              <w:left w:w="15" w:type="dxa"/>
              <w:right w:w="15" w:type="dxa"/>
            </w:tcMar>
            <w:vAlign w:val="center"/>
          </w:tcPr>
          <w:p w14:paraId="3A68A124">
            <w:pPr>
              <w:keepNext w:val="0"/>
              <w:keepLines w:val="0"/>
              <w:pageBreakBefore w:val="0"/>
              <w:widowControl w:val="0"/>
              <w:kinsoku/>
              <w:wordWrap/>
              <w:overflowPunct/>
              <w:topLinePunct w:val="0"/>
              <w:autoSpaceDE/>
              <w:autoSpaceDN/>
              <w:bidi w:val="0"/>
              <w:adjustRightInd/>
              <w:snapToGrid/>
              <w:spacing w:before="0" w:after="0" w:line="240" w:lineRule="exact"/>
              <w:ind w:left="84" w:leftChars="40" w:right="84" w:rightChars="40"/>
              <w:jc w:val="righ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485,406.16</w:t>
            </w:r>
          </w:p>
        </w:tc>
        <w:tc>
          <w:tcPr>
            <w:tcW w:w="901" w:type="pct"/>
            <w:shd w:val="clear" w:color="auto" w:fill="auto"/>
            <w:tcMar>
              <w:top w:w="15" w:type="dxa"/>
              <w:left w:w="15" w:type="dxa"/>
              <w:right w:w="15" w:type="dxa"/>
            </w:tcMar>
            <w:vAlign w:val="center"/>
          </w:tcPr>
          <w:p w14:paraId="40A70171">
            <w:pPr>
              <w:keepNext w:val="0"/>
              <w:keepLines w:val="0"/>
              <w:pageBreakBefore w:val="0"/>
              <w:widowControl w:val="0"/>
              <w:kinsoku/>
              <w:wordWrap/>
              <w:overflowPunct/>
              <w:topLinePunct w:val="0"/>
              <w:autoSpaceDE/>
              <w:autoSpaceDN/>
              <w:bidi w:val="0"/>
              <w:adjustRightInd/>
              <w:snapToGrid/>
              <w:spacing w:before="0" w:after="0" w:line="240" w:lineRule="exact"/>
              <w:ind w:left="84" w:leftChars="40" w:right="84" w:rightChars="4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p>
        </w:tc>
        <w:tc>
          <w:tcPr>
            <w:tcW w:w="598" w:type="pct"/>
            <w:shd w:val="clear" w:color="auto" w:fill="auto"/>
            <w:tcMar>
              <w:top w:w="15" w:type="dxa"/>
              <w:left w:w="15" w:type="dxa"/>
              <w:right w:w="15" w:type="dxa"/>
            </w:tcMar>
            <w:vAlign w:val="center"/>
          </w:tcPr>
          <w:p w14:paraId="4D2B6284">
            <w:pPr>
              <w:keepNext w:val="0"/>
              <w:keepLines w:val="0"/>
              <w:pageBreakBefore w:val="0"/>
              <w:widowControl w:val="0"/>
              <w:kinsoku/>
              <w:wordWrap/>
              <w:overflowPunct/>
              <w:topLinePunct w:val="0"/>
              <w:autoSpaceDE/>
              <w:autoSpaceDN/>
              <w:bidi w:val="0"/>
              <w:adjustRightInd/>
              <w:snapToGrid/>
              <w:spacing w:before="0" w:after="0" w:line="240" w:lineRule="exact"/>
              <w:ind w:left="84" w:leftChars="40" w:right="84" w:rightChars="40"/>
              <w:jc w:val="righ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100.00%</w:t>
            </w:r>
          </w:p>
        </w:tc>
        <w:tc>
          <w:tcPr>
            <w:tcW w:w="1751" w:type="pct"/>
            <w:shd w:val="clear" w:color="auto" w:fill="auto"/>
            <w:tcMar>
              <w:top w:w="15" w:type="dxa"/>
              <w:left w:w="15" w:type="dxa"/>
              <w:right w:w="15" w:type="dxa"/>
            </w:tcMar>
            <w:vAlign w:val="center"/>
          </w:tcPr>
          <w:p w14:paraId="406E81DF">
            <w:pPr>
              <w:keepNext w:val="0"/>
              <w:keepLines w:val="0"/>
              <w:pageBreakBefore w:val="0"/>
              <w:widowControl w:val="0"/>
              <w:kinsoku/>
              <w:wordWrap/>
              <w:overflowPunct/>
              <w:topLinePunct w:val="0"/>
              <w:autoSpaceDE/>
              <w:autoSpaceDN/>
              <w:bidi w:val="0"/>
              <w:adjustRightInd/>
              <w:snapToGrid/>
              <w:spacing w:before="0" w:after="0" w:line="240" w:lineRule="exact"/>
              <w:ind w:left="84" w:leftChars="40" w:right="84" w:rightChars="40"/>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主要系支付物流运输费所致</w:t>
            </w:r>
          </w:p>
        </w:tc>
      </w:tr>
      <w:tr w14:paraId="53FC5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3" w:hRule="atLeast"/>
        </w:trPr>
        <w:tc>
          <w:tcPr>
            <w:tcW w:w="885" w:type="pct"/>
            <w:shd w:val="clear" w:color="auto" w:fill="auto"/>
            <w:tcMar>
              <w:top w:w="15" w:type="dxa"/>
              <w:left w:w="15" w:type="dxa"/>
              <w:right w:w="15" w:type="dxa"/>
            </w:tcMar>
            <w:vAlign w:val="center"/>
          </w:tcPr>
          <w:p w14:paraId="4A5FED80">
            <w:pPr>
              <w:keepNext w:val="0"/>
              <w:keepLines w:val="0"/>
              <w:pageBreakBefore w:val="0"/>
              <w:widowControl w:val="0"/>
              <w:kinsoku/>
              <w:wordWrap/>
              <w:overflowPunct/>
              <w:topLinePunct w:val="0"/>
              <w:autoSpaceDE/>
              <w:autoSpaceDN/>
              <w:bidi w:val="0"/>
              <w:adjustRightInd/>
              <w:snapToGrid/>
              <w:spacing w:before="0" w:after="0" w:line="240" w:lineRule="exact"/>
              <w:ind w:left="84" w:leftChars="40" w:right="84" w:rightChars="40"/>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合同负债</w:t>
            </w:r>
          </w:p>
        </w:tc>
        <w:tc>
          <w:tcPr>
            <w:tcW w:w="862" w:type="pct"/>
            <w:shd w:val="clear" w:color="auto" w:fill="auto"/>
            <w:tcMar>
              <w:top w:w="15" w:type="dxa"/>
              <w:left w:w="15" w:type="dxa"/>
              <w:right w:w="15" w:type="dxa"/>
            </w:tcMar>
            <w:vAlign w:val="center"/>
          </w:tcPr>
          <w:p w14:paraId="643C859D">
            <w:pPr>
              <w:keepNext w:val="0"/>
              <w:keepLines w:val="0"/>
              <w:pageBreakBefore w:val="0"/>
              <w:widowControl w:val="0"/>
              <w:kinsoku/>
              <w:wordWrap/>
              <w:overflowPunct/>
              <w:topLinePunct w:val="0"/>
              <w:autoSpaceDE/>
              <w:autoSpaceDN/>
              <w:bidi w:val="0"/>
              <w:adjustRightInd/>
              <w:snapToGrid/>
              <w:spacing w:before="0" w:after="0" w:line="240" w:lineRule="exact"/>
              <w:ind w:left="84" w:leftChars="40" w:right="84" w:rightChars="40"/>
              <w:jc w:val="righ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16,400,878.20</w:t>
            </w:r>
          </w:p>
        </w:tc>
        <w:tc>
          <w:tcPr>
            <w:tcW w:w="901" w:type="pct"/>
            <w:shd w:val="clear" w:color="auto" w:fill="auto"/>
            <w:tcMar>
              <w:top w:w="15" w:type="dxa"/>
              <w:left w:w="15" w:type="dxa"/>
              <w:right w:w="15" w:type="dxa"/>
            </w:tcMar>
            <w:vAlign w:val="center"/>
          </w:tcPr>
          <w:p w14:paraId="1DA2C5E5">
            <w:pPr>
              <w:keepNext w:val="0"/>
              <w:keepLines w:val="0"/>
              <w:pageBreakBefore w:val="0"/>
              <w:widowControl w:val="0"/>
              <w:kinsoku/>
              <w:wordWrap/>
              <w:overflowPunct/>
              <w:topLinePunct w:val="0"/>
              <w:autoSpaceDE/>
              <w:autoSpaceDN/>
              <w:bidi w:val="0"/>
              <w:adjustRightInd/>
              <w:snapToGrid/>
              <w:spacing w:before="0" w:after="0" w:line="240" w:lineRule="exact"/>
              <w:ind w:left="84" w:leftChars="40" w:right="84" w:rightChars="40"/>
              <w:jc w:val="righ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45,175,363.95</w:t>
            </w:r>
          </w:p>
        </w:tc>
        <w:tc>
          <w:tcPr>
            <w:tcW w:w="598" w:type="pct"/>
            <w:shd w:val="clear" w:color="auto" w:fill="auto"/>
            <w:tcMar>
              <w:top w:w="15" w:type="dxa"/>
              <w:left w:w="15" w:type="dxa"/>
              <w:right w:w="15" w:type="dxa"/>
            </w:tcMar>
            <w:vAlign w:val="center"/>
          </w:tcPr>
          <w:p w14:paraId="23A2A65F">
            <w:pPr>
              <w:keepNext w:val="0"/>
              <w:keepLines w:val="0"/>
              <w:pageBreakBefore w:val="0"/>
              <w:widowControl w:val="0"/>
              <w:kinsoku/>
              <w:wordWrap/>
              <w:overflowPunct/>
              <w:topLinePunct w:val="0"/>
              <w:autoSpaceDE/>
              <w:autoSpaceDN/>
              <w:bidi w:val="0"/>
              <w:adjustRightInd/>
              <w:snapToGrid/>
              <w:spacing w:before="0" w:after="0" w:line="240" w:lineRule="exact"/>
              <w:ind w:left="84" w:leftChars="40" w:right="84" w:rightChars="40"/>
              <w:jc w:val="righ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-63.70%</w:t>
            </w:r>
          </w:p>
        </w:tc>
        <w:tc>
          <w:tcPr>
            <w:tcW w:w="1751" w:type="pct"/>
            <w:shd w:val="clear" w:color="auto" w:fill="auto"/>
            <w:tcMar>
              <w:top w:w="15" w:type="dxa"/>
              <w:left w:w="15" w:type="dxa"/>
              <w:right w:w="15" w:type="dxa"/>
            </w:tcMar>
            <w:vAlign w:val="center"/>
          </w:tcPr>
          <w:p w14:paraId="6494D56C">
            <w:pPr>
              <w:keepNext w:val="0"/>
              <w:keepLines w:val="0"/>
              <w:pageBreakBefore w:val="0"/>
              <w:widowControl w:val="0"/>
              <w:kinsoku/>
              <w:wordWrap/>
              <w:overflowPunct/>
              <w:topLinePunct w:val="0"/>
              <w:autoSpaceDE/>
              <w:autoSpaceDN/>
              <w:bidi w:val="0"/>
              <w:adjustRightInd/>
              <w:snapToGrid/>
              <w:spacing w:before="0" w:after="0" w:line="240" w:lineRule="exact"/>
              <w:ind w:left="84" w:leftChars="40" w:right="84" w:rightChars="40"/>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主要系应付客户返利款减少所致</w:t>
            </w:r>
          </w:p>
        </w:tc>
      </w:tr>
      <w:tr w14:paraId="2D9F8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3" w:hRule="atLeast"/>
        </w:trPr>
        <w:tc>
          <w:tcPr>
            <w:tcW w:w="885" w:type="pct"/>
            <w:shd w:val="clear" w:color="auto" w:fill="auto"/>
            <w:tcMar>
              <w:top w:w="15" w:type="dxa"/>
              <w:left w:w="15" w:type="dxa"/>
              <w:right w:w="15" w:type="dxa"/>
            </w:tcMar>
            <w:vAlign w:val="center"/>
          </w:tcPr>
          <w:p w14:paraId="1E1CCA7B">
            <w:pPr>
              <w:keepNext w:val="0"/>
              <w:keepLines w:val="0"/>
              <w:pageBreakBefore w:val="0"/>
              <w:widowControl w:val="0"/>
              <w:kinsoku/>
              <w:wordWrap/>
              <w:overflowPunct/>
              <w:topLinePunct w:val="0"/>
              <w:autoSpaceDE/>
              <w:autoSpaceDN/>
              <w:bidi w:val="0"/>
              <w:adjustRightInd/>
              <w:snapToGrid/>
              <w:spacing w:before="0" w:after="0" w:line="240" w:lineRule="exact"/>
              <w:ind w:left="84" w:leftChars="40" w:right="84" w:rightChars="40"/>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其他应付款</w:t>
            </w:r>
          </w:p>
        </w:tc>
        <w:tc>
          <w:tcPr>
            <w:tcW w:w="862" w:type="pct"/>
            <w:shd w:val="clear" w:color="auto" w:fill="auto"/>
            <w:tcMar>
              <w:top w:w="15" w:type="dxa"/>
              <w:left w:w="15" w:type="dxa"/>
              <w:right w:w="15" w:type="dxa"/>
            </w:tcMar>
            <w:vAlign w:val="center"/>
          </w:tcPr>
          <w:p w14:paraId="136E8A71">
            <w:pPr>
              <w:keepNext w:val="0"/>
              <w:keepLines w:val="0"/>
              <w:pageBreakBefore w:val="0"/>
              <w:widowControl w:val="0"/>
              <w:kinsoku/>
              <w:wordWrap/>
              <w:overflowPunct/>
              <w:topLinePunct w:val="0"/>
              <w:autoSpaceDE/>
              <w:autoSpaceDN/>
              <w:bidi w:val="0"/>
              <w:adjustRightInd/>
              <w:snapToGrid/>
              <w:spacing w:before="0" w:after="0" w:line="240" w:lineRule="exact"/>
              <w:ind w:left="84" w:leftChars="40" w:right="84" w:rightChars="40"/>
              <w:jc w:val="righ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19,469,177.30</w:t>
            </w:r>
          </w:p>
        </w:tc>
        <w:tc>
          <w:tcPr>
            <w:tcW w:w="901" w:type="pct"/>
            <w:shd w:val="clear" w:color="auto" w:fill="auto"/>
            <w:tcMar>
              <w:top w:w="15" w:type="dxa"/>
              <w:left w:w="15" w:type="dxa"/>
              <w:right w:w="15" w:type="dxa"/>
            </w:tcMar>
            <w:vAlign w:val="center"/>
          </w:tcPr>
          <w:p w14:paraId="659CDE9C">
            <w:pPr>
              <w:keepNext w:val="0"/>
              <w:keepLines w:val="0"/>
              <w:pageBreakBefore w:val="0"/>
              <w:widowControl w:val="0"/>
              <w:kinsoku/>
              <w:wordWrap/>
              <w:overflowPunct/>
              <w:topLinePunct w:val="0"/>
              <w:autoSpaceDE/>
              <w:autoSpaceDN/>
              <w:bidi w:val="0"/>
              <w:adjustRightInd/>
              <w:snapToGrid/>
              <w:spacing w:before="0" w:after="0" w:line="240" w:lineRule="exact"/>
              <w:ind w:left="84" w:leftChars="40" w:right="84" w:rightChars="40"/>
              <w:jc w:val="righ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14,214,142.30</w:t>
            </w:r>
          </w:p>
        </w:tc>
        <w:tc>
          <w:tcPr>
            <w:tcW w:w="598" w:type="pct"/>
            <w:shd w:val="clear" w:color="auto" w:fill="auto"/>
            <w:tcMar>
              <w:top w:w="15" w:type="dxa"/>
              <w:left w:w="15" w:type="dxa"/>
              <w:right w:w="15" w:type="dxa"/>
            </w:tcMar>
            <w:vAlign w:val="center"/>
          </w:tcPr>
          <w:p w14:paraId="1A2BF606">
            <w:pPr>
              <w:keepNext w:val="0"/>
              <w:keepLines w:val="0"/>
              <w:pageBreakBefore w:val="0"/>
              <w:widowControl w:val="0"/>
              <w:kinsoku/>
              <w:wordWrap/>
              <w:overflowPunct/>
              <w:topLinePunct w:val="0"/>
              <w:autoSpaceDE/>
              <w:autoSpaceDN/>
              <w:bidi w:val="0"/>
              <w:adjustRightInd/>
              <w:snapToGrid/>
              <w:spacing w:before="0" w:after="0" w:line="240" w:lineRule="exact"/>
              <w:ind w:left="84" w:leftChars="40" w:right="84" w:rightChars="40"/>
              <w:jc w:val="righ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36.97%</w:t>
            </w:r>
          </w:p>
        </w:tc>
        <w:tc>
          <w:tcPr>
            <w:tcW w:w="1751" w:type="pct"/>
            <w:shd w:val="clear" w:color="auto" w:fill="auto"/>
            <w:tcMar>
              <w:top w:w="15" w:type="dxa"/>
              <w:left w:w="15" w:type="dxa"/>
              <w:right w:w="15" w:type="dxa"/>
            </w:tcMar>
            <w:vAlign w:val="center"/>
          </w:tcPr>
          <w:p w14:paraId="3464C9B2">
            <w:pPr>
              <w:keepNext w:val="0"/>
              <w:keepLines w:val="0"/>
              <w:pageBreakBefore w:val="0"/>
              <w:widowControl w:val="0"/>
              <w:kinsoku/>
              <w:wordWrap/>
              <w:overflowPunct/>
              <w:topLinePunct w:val="0"/>
              <w:autoSpaceDE/>
              <w:autoSpaceDN/>
              <w:bidi w:val="0"/>
              <w:adjustRightInd/>
              <w:snapToGrid/>
              <w:spacing w:before="0" w:after="0" w:line="240" w:lineRule="exact"/>
              <w:ind w:left="84" w:leftChars="40" w:right="84" w:rightChars="40"/>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主要系支付保证金、运费、服务费增加所致</w:t>
            </w:r>
          </w:p>
        </w:tc>
      </w:tr>
      <w:tr w14:paraId="393DD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3" w:hRule="atLeast"/>
        </w:trPr>
        <w:tc>
          <w:tcPr>
            <w:tcW w:w="885" w:type="pct"/>
            <w:shd w:val="clear" w:color="auto" w:fill="auto"/>
            <w:tcMar>
              <w:top w:w="15" w:type="dxa"/>
              <w:left w:w="15" w:type="dxa"/>
              <w:right w:w="15" w:type="dxa"/>
            </w:tcMar>
            <w:vAlign w:val="center"/>
          </w:tcPr>
          <w:p w14:paraId="5B374C9A">
            <w:pPr>
              <w:keepNext w:val="0"/>
              <w:keepLines w:val="0"/>
              <w:pageBreakBefore w:val="0"/>
              <w:widowControl w:val="0"/>
              <w:kinsoku/>
              <w:wordWrap/>
              <w:overflowPunct/>
              <w:topLinePunct w:val="0"/>
              <w:autoSpaceDE/>
              <w:autoSpaceDN/>
              <w:bidi w:val="0"/>
              <w:adjustRightInd/>
              <w:snapToGrid/>
              <w:spacing w:before="0" w:after="0" w:line="240" w:lineRule="exact"/>
              <w:ind w:left="84" w:leftChars="40" w:right="84" w:rightChars="40"/>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其他流动负债</w:t>
            </w:r>
          </w:p>
        </w:tc>
        <w:tc>
          <w:tcPr>
            <w:tcW w:w="862" w:type="pct"/>
            <w:shd w:val="clear" w:color="auto" w:fill="auto"/>
            <w:tcMar>
              <w:top w:w="15" w:type="dxa"/>
              <w:left w:w="15" w:type="dxa"/>
              <w:right w:w="15" w:type="dxa"/>
            </w:tcMar>
            <w:vAlign w:val="center"/>
          </w:tcPr>
          <w:p w14:paraId="5D2F3328">
            <w:pPr>
              <w:keepNext w:val="0"/>
              <w:keepLines w:val="0"/>
              <w:pageBreakBefore w:val="0"/>
              <w:widowControl w:val="0"/>
              <w:kinsoku/>
              <w:wordWrap/>
              <w:overflowPunct/>
              <w:topLinePunct w:val="0"/>
              <w:autoSpaceDE/>
              <w:autoSpaceDN/>
              <w:bidi w:val="0"/>
              <w:adjustRightInd/>
              <w:snapToGrid/>
              <w:spacing w:before="0" w:after="0" w:line="240" w:lineRule="exact"/>
              <w:ind w:left="84" w:leftChars="40" w:right="84" w:rightChars="40"/>
              <w:jc w:val="righ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871,944.25</w:t>
            </w:r>
          </w:p>
        </w:tc>
        <w:tc>
          <w:tcPr>
            <w:tcW w:w="901" w:type="pct"/>
            <w:shd w:val="clear" w:color="auto" w:fill="auto"/>
            <w:tcMar>
              <w:top w:w="15" w:type="dxa"/>
              <w:left w:w="15" w:type="dxa"/>
              <w:right w:w="15" w:type="dxa"/>
            </w:tcMar>
            <w:vAlign w:val="center"/>
          </w:tcPr>
          <w:p w14:paraId="08A65C48">
            <w:pPr>
              <w:keepNext w:val="0"/>
              <w:keepLines w:val="0"/>
              <w:pageBreakBefore w:val="0"/>
              <w:widowControl w:val="0"/>
              <w:kinsoku/>
              <w:wordWrap/>
              <w:overflowPunct/>
              <w:topLinePunct w:val="0"/>
              <w:autoSpaceDE/>
              <w:autoSpaceDN/>
              <w:bidi w:val="0"/>
              <w:adjustRightInd/>
              <w:snapToGrid/>
              <w:spacing w:before="0" w:after="0" w:line="240" w:lineRule="exact"/>
              <w:ind w:left="84" w:leftChars="40" w:right="84" w:rightChars="40"/>
              <w:jc w:val="righ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2,269,731.23</w:t>
            </w:r>
          </w:p>
        </w:tc>
        <w:tc>
          <w:tcPr>
            <w:tcW w:w="598" w:type="pct"/>
            <w:shd w:val="clear" w:color="auto" w:fill="auto"/>
            <w:tcMar>
              <w:top w:w="15" w:type="dxa"/>
              <w:left w:w="15" w:type="dxa"/>
              <w:right w:w="15" w:type="dxa"/>
            </w:tcMar>
            <w:vAlign w:val="center"/>
          </w:tcPr>
          <w:p w14:paraId="0B03DEF4">
            <w:pPr>
              <w:keepNext w:val="0"/>
              <w:keepLines w:val="0"/>
              <w:pageBreakBefore w:val="0"/>
              <w:widowControl w:val="0"/>
              <w:kinsoku/>
              <w:wordWrap/>
              <w:overflowPunct/>
              <w:topLinePunct w:val="0"/>
              <w:autoSpaceDE/>
              <w:autoSpaceDN/>
              <w:bidi w:val="0"/>
              <w:adjustRightInd/>
              <w:snapToGrid/>
              <w:spacing w:before="0" w:after="0" w:line="240" w:lineRule="exact"/>
              <w:ind w:left="84" w:leftChars="40" w:right="84" w:rightChars="40"/>
              <w:jc w:val="righ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-61.58%</w:t>
            </w:r>
          </w:p>
        </w:tc>
        <w:tc>
          <w:tcPr>
            <w:tcW w:w="1751" w:type="pct"/>
            <w:shd w:val="clear" w:color="auto" w:fill="auto"/>
            <w:tcMar>
              <w:top w:w="15" w:type="dxa"/>
              <w:left w:w="15" w:type="dxa"/>
              <w:right w:w="15" w:type="dxa"/>
            </w:tcMar>
            <w:vAlign w:val="center"/>
          </w:tcPr>
          <w:p w14:paraId="38A0FA33">
            <w:pPr>
              <w:keepNext w:val="0"/>
              <w:keepLines w:val="0"/>
              <w:pageBreakBefore w:val="0"/>
              <w:widowControl w:val="0"/>
              <w:kinsoku/>
              <w:wordWrap/>
              <w:overflowPunct/>
              <w:topLinePunct w:val="0"/>
              <w:autoSpaceDE/>
              <w:autoSpaceDN/>
              <w:bidi w:val="0"/>
              <w:adjustRightInd/>
              <w:snapToGrid/>
              <w:spacing w:before="0" w:after="0" w:line="240" w:lineRule="exact"/>
              <w:ind w:left="84" w:leftChars="40" w:right="84" w:rightChars="40"/>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主要系待转销项税额重分类所致</w:t>
            </w:r>
          </w:p>
        </w:tc>
      </w:tr>
      <w:tr w14:paraId="75EB3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3" w:hRule="atLeast"/>
        </w:trPr>
        <w:tc>
          <w:tcPr>
            <w:tcW w:w="885" w:type="pct"/>
            <w:shd w:val="clear" w:color="auto" w:fill="auto"/>
            <w:tcMar>
              <w:top w:w="15" w:type="dxa"/>
              <w:left w:w="15" w:type="dxa"/>
              <w:right w:w="15" w:type="dxa"/>
            </w:tcMar>
            <w:vAlign w:val="center"/>
          </w:tcPr>
          <w:p w14:paraId="09E53776">
            <w:pPr>
              <w:keepNext w:val="0"/>
              <w:keepLines w:val="0"/>
              <w:pageBreakBefore w:val="0"/>
              <w:widowControl w:val="0"/>
              <w:kinsoku/>
              <w:wordWrap/>
              <w:overflowPunct/>
              <w:topLinePunct w:val="0"/>
              <w:autoSpaceDE/>
              <w:autoSpaceDN/>
              <w:bidi w:val="0"/>
              <w:adjustRightInd/>
              <w:snapToGrid/>
              <w:spacing w:before="0" w:after="0" w:line="240" w:lineRule="exact"/>
              <w:ind w:left="84" w:leftChars="40" w:right="84" w:rightChars="40"/>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专项储备</w:t>
            </w:r>
          </w:p>
        </w:tc>
        <w:tc>
          <w:tcPr>
            <w:tcW w:w="862" w:type="pct"/>
            <w:shd w:val="clear" w:color="auto" w:fill="auto"/>
            <w:tcMar>
              <w:top w:w="15" w:type="dxa"/>
              <w:left w:w="15" w:type="dxa"/>
              <w:right w:w="15" w:type="dxa"/>
            </w:tcMar>
            <w:vAlign w:val="center"/>
          </w:tcPr>
          <w:p w14:paraId="76A590B5">
            <w:pPr>
              <w:keepNext w:val="0"/>
              <w:keepLines w:val="0"/>
              <w:pageBreakBefore w:val="0"/>
              <w:widowControl w:val="0"/>
              <w:kinsoku/>
              <w:wordWrap/>
              <w:overflowPunct/>
              <w:topLinePunct w:val="0"/>
              <w:autoSpaceDE/>
              <w:autoSpaceDN/>
              <w:bidi w:val="0"/>
              <w:adjustRightInd/>
              <w:snapToGrid/>
              <w:spacing w:before="0" w:after="0" w:line="240" w:lineRule="exact"/>
              <w:ind w:left="84" w:leftChars="40" w:right="84" w:rightChars="40"/>
              <w:jc w:val="righ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1,179,057.68</w:t>
            </w:r>
          </w:p>
        </w:tc>
        <w:tc>
          <w:tcPr>
            <w:tcW w:w="901" w:type="pct"/>
            <w:shd w:val="clear" w:color="auto" w:fill="auto"/>
            <w:tcMar>
              <w:top w:w="15" w:type="dxa"/>
              <w:left w:w="15" w:type="dxa"/>
              <w:right w:w="15" w:type="dxa"/>
            </w:tcMar>
            <w:vAlign w:val="center"/>
          </w:tcPr>
          <w:p w14:paraId="1AB525D8">
            <w:pPr>
              <w:keepNext w:val="0"/>
              <w:keepLines w:val="0"/>
              <w:pageBreakBefore w:val="0"/>
              <w:widowControl w:val="0"/>
              <w:kinsoku/>
              <w:wordWrap/>
              <w:overflowPunct/>
              <w:topLinePunct w:val="0"/>
              <w:autoSpaceDE/>
              <w:autoSpaceDN/>
              <w:bidi w:val="0"/>
              <w:adjustRightInd/>
              <w:snapToGrid/>
              <w:spacing w:before="0" w:after="0" w:line="240" w:lineRule="exact"/>
              <w:ind w:left="84" w:leftChars="40" w:right="84" w:rightChars="40"/>
              <w:jc w:val="righ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781,931.64</w:t>
            </w:r>
          </w:p>
        </w:tc>
        <w:tc>
          <w:tcPr>
            <w:tcW w:w="598" w:type="pct"/>
            <w:shd w:val="clear" w:color="auto" w:fill="auto"/>
            <w:tcMar>
              <w:top w:w="15" w:type="dxa"/>
              <w:left w:w="15" w:type="dxa"/>
              <w:right w:w="15" w:type="dxa"/>
            </w:tcMar>
            <w:vAlign w:val="center"/>
          </w:tcPr>
          <w:p w14:paraId="7CB55635">
            <w:pPr>
              <w:keepNext w:val="0"/>
              <w:keepLines w:val="0"/>
              <w:pageBreakBefore w:val="0"/>
              <w:widowControl w:val="0"/>
              <w:kinsoku/>
              <w:wordWrap/>
              <w:overflowPunct/>
              <w:topLinePunct w:val="0"/>
              <w:autoSpaceDE/>
              <w:autoSpaceDN/>
              <w:bidi w:val="0"/>
              <w:adjustRightInd/>
              <w:snapToGrid/>
              <w:spacing w:before="0" w:after="0" w:line="240" w:lineRule="exact"/>
              <w:ind w:left="84" w:leftChars="40" w:right="84" w:rightChars="40"/>
              <w:jc w:val="righ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50.79%</w:t>
            </w:r>
          </w:p>
        </w:tc>
        <w:tc>
          <w:tcPr>
            <w:tcW w:w="1751" w:type="pct"/>
            <w:shd w:val="clear" w:color="auto" w:fill="auto"/>
            <w:tcMar>
              <w:top w:w="15" w:type="dxa"/>
              <w:left w:w="15" w:type="dxa"/>
              <w:right w:w="15" w:type="dxa"/>
            </w:tcMar>
            <w:vAlign w:val="center"/>
          </w:tcPr>
          <w:p w14:paraId="1B92B1A4">
            <w:pPr>
              <w:keepNext w:val="0"/>
              <w:keepLines w:val="0"/>
              <w:pageBreakBefore w:val="0"/>
              <w:widowControl w:val="0"/>
              <w:kinsoku/>
              <w:wordWrap/>
              <w:overflowPunct/>
              <w:topLinePunct w:val="0"/>
              <w:autoSpaceDE/>
              <w:autoSpaceDN/>
              <w:bidi w:val="0"/>
              <w:adjustRightInd/>
              <w:snapToGrid/>
              <w:spacing w:before="0" w:after="0" w:line="240" w:lineRule="exact"/>
              <w:ind w:left="84" w:leftChars="40" w:right="84" w:rightChars="40"/>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主要系计提安全生产费所致</w:t>
            </w:r>
          </w:p>
        </w:tc>
      </w:tr>
    </w:tbl>
    <w:p w14:paraId="7260426D">
      <w:pPr>
        <w:numPr>
          <w:ilvl w:val="0"/>
          <w:numId w:val="0"/>
        </w:numPr>
        <w:spacing w:before="0" w:after="0" w:line="240" w:lineRule="exact"/>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二、利润表项目</w:t>
      </w:r>
    </w:p>
    <w:p w14:paraId="591ACFB7">
      <w:pPr>
        <w:spacing w:before="0" w:after="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49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1334"/>
        <w:gridCol w:w="1394"/>
        <w:gridCol w:w="1410"/>
        <w:gridCol w:w="1277"/>
        <w:gridCol w:w="4237"/>
      </w:tblGrid>
      <w:tr w14:paraId="1D888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3" w:hRule="atLeast"/>
        </w:trPr>
        <w:tc>
          <w:tcPr>
            <w:tcW w:w="691" w:type="pct"/>
            <w:shd w:val="clear" w:color="auto" w:fill="BEBEBE" w:themeFill="background1" w:themeFillShade="BF"/>
            <w:tcMar>
              <w:top w:w="15" w:type="dxa"/>
              <w:left w:w="15" w:type="dxa"/>
              <w:right w:w="15" w:type="dxa"/>
            </w:tcMar>
            <w:vAlign w:val="center"/>
          </w:tcPr>
          <w:p w14:paraId="77B47089">
            <w:pPr>
              <w:keepNext w:val="0"/>
              <w:keepLines w:val="0"/>
              <w:pageBreakBefore w:val="0"/>
              <w:widowControl w:val="0"/>
              <w:kinsoku/>
              <w:wordWrap/>
              <w:overflowPunct/>
              <w:topLinePunct w:val="0"/>
              <w:autoSpaceDE/>
              <w:autoSpaceDN/>
              <w:bidi w:val="0"/>
              <w:adjustRightInd/>
              <w:snapToGrid/>
              <w:spacing w:before="0" w:after="0" w:line="240" w:lineRule="exact"/>
              <w:ind w:left="84" w:leftChars="40" w:right="84" w:rightChars="4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项目</w:t>
            </w:r>
          </w:p>
        </w:tc>
        <w:tc>
          <w:tcPr>
            <w:tcW w:w="722" w:type="pct"/>
            <w:shd w:val="clear" w:color="auto" w:fill="BEBEBE" w:themeFill="background1" w:themeFillShade="BF"/>
            <w:tcMar>
              <w:top w:w="15" w:type="dxa"/>
              <w:left w:w="15" w:type="dxa"/>
              <w:right w:w="15" w:type="dxa"/>
            </w:tcMar>
            <w:vAlign w:val="center"/>
          </w:tcPr>
          <w:p w14:paraId="2C5629B1">
            <w:pPr>
              <w:keepNext w:val="0"/>
              <w:keepLines w:val="0"/>
              <w:pageBreakBefore w:val="0"/>
              <w:widowControl w:val="0"/>
              <w:kinsoku/>
              <w:wordWrap/>
              <w:overflowPunct/>
              <w:topLinePunct w:val="0"/>
              <w:autoSpaceDE/>
              <w:autoSpaceDN/>
              <w:bidi w:val="0"/>
              <w:adjustRightInd/>
              <w:snapToGrid/>
              <w:spacing w:before="0" w:after="0" w:line="240" w:lineRule="exact"/>
              <w:ind w:left="84" w:leftChars="40" w:right="84" w:rightChars="4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2025年1-3月</w:t>
            </w:r>
          </w:p>
        </w:tc>
        <w:tc>
          <w:tcPr>
            <w:tcW w:w="730" w:type="pct"/>
            <w:shd w:val="clear" w:color="auto" w:fill="BEBEBE" w:themeFill="background1" w:themeFillShade="BF"/>
            <w:tcMar>
              <w:top w:w="15" w:type="dxa"/>
              <w:left w:w="15" w:type="dxa"/>
              <w:right w:w="15" w:type="dxa"/>
            </w:tcMar>
            <w:vAlign w:val="center"/>
          </w:tcPr>
          <w:p w14:paraId="5D60BF35">
            <w:pPr>
              <w:keepNext w:val="0"/>
              <w:keepLines w:val="0"/>
              <w:pageBreakBefore w:val="0"/>
              <w:widowControl w:val="0"/>
              <w:kinsoku/>
              <w:wordWrap/>
              <w:overflowPunct/>
              <w:topLinePunct w:val="0"/>
              <w:autoSpaceDE/>
              <w:autoSpaceDN/>
              <w:bidi w:val="0"/>
              <w:adjustRightInd/>
              <w:snapToGrid/>
              <w:spacing w:before="0" w:after="0" w:line="240" w:lineRule="exact"/>
              <w:ind w:left="84" w:leftChars="40" w:right="84" w:rightChars="4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2024年1-3月</w:t>
            </w:r>
          </w:p>
        </w:tc>
        <w:tc>
          <w:tcPr>
            <w:tcW w:w="661" w:type="pct"/>
            <w:shd w:val="clear" w:color="auto" w:fill="BEBEBE" w:themeFill="background1" w:themeFillShade="BF"/>
            <w:tcMar>
              <w:top w:w="15" w:type="dxa"/>
              <w:left w:w="15" w:type="dxa"/>
              <w:right w:w="15" w:type="dxa"/>
            </w:tcMar>
            <w:vAlign w:val="center"/>
          </w:tcPr>
          <w:p w14:paraId="3ADA3320">
            <w:pPr>
              <w:keepNext w:val="0"/>
              <w:keepLines w:val="0"/>
              <w:pageBreakBefore w:val="0"/>
              <w:widowControl w:val="0"/>
              <w:kinsoku/>
              <w:wordWrap/>
              <w:overflowPunct/>
              <w:topLinePunct w:val="0"/>
              <w:autoSpaceDE/>
              <w:autoSpaceDN/>
              <w:bidi w:val="0"/>
              <w:adjustRightInd/>
              <w:snapToGrid/>
              <w:spacing w:before="0" w:after="0" w:line="240" w:lineRule="exact"/>
              <w:ind w:left="84" w:leftChars="40" w:right="84" w:rightChars="4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增减变动率</w:t>
            </w:r>
          </w:p>
        </w:tc>
        <w:tc>
          <w:tcPr>
            <w:tcW w:w="2194" w:type="pct"/>
            <w:shd w:val="clear" w:color="auto" w:fill="BEBEBE" w:themeFill="background1" w:themeFillShade="BF"/>
            <w:tcMar>
              <w:top w:w="15" w:type="dxa"/>
              <w:left w:w="15" w:type="dxa"/>
              <w:right w:w="15" w:type="dxa"/>
            </w:tcMar>
            <w:vAlign w:val="center"/>
          </w:tcPr>
          <w:p w14:paraId="43421FE9">
            <w:pPr>
              <w:keepNext w:val="0"/>
              <w:keepLines w:val="0"/>
              <w:pageBreakBefore w:val="0"/>
              <w:widowControl w:val="0"/>
              <w:kinsoku/>
              <w:wordWrap/>
              <w:overflowPunct/>
              <w:topLinePunct w:val="0"/>
              <w:autoSpaceDE/>
              <w:autoSpaceDN/>
              <w:bidi w:val="0"/>
              <w:adjustRightInd/>
              <w:snapToGrid/>
              <w:spacing w:before="0" w:after="0" w:line="240" w:lineRule="exact"/>
              <w:ind w:left="84" w:leftChars="40" w:right="84" w:rightChars="4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情况说明、主要原因分析</w:t>
            </w:r>
          </w:p>
        </w:tc>
      </w:tr>
      <w:tr w14:paraId="5811B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691" w:type="pct"/>
            <w:shd w:val="clear" w:color="auto" w:fill="auto"/>
            <w:tcMar>
              <w:top w:w="15" w:type="dxa"/>
              <w:left w:w="15" w:type="dxa"/>
              <w:right w:w="15" w:type="dxa"/>
            </w:tcMar>
            <w:vAlign w:val="center"/>
          </w:tcPr>
          <w:p w14:paraId="6D8C8516">
            <w:pPr>
              <w:keepNext w:val="0"/>
              <w:keepLines w:val="0"/>
              <w:pageBreakBefore w:val="0"/>
              <w:widowControl w:val="0"/>
              <w:kinsoku/>
              <w:wordWrap/>
              <w:overflowPunct/>
              <w:topLinePunct w:val="0"/>
              <w:autoSpaceDE/>
              <w:autoSpaceDN/>
              <w:bidi w:val="0"/>
              <w:adjustRightInd/>
              <w:snapToGrid/>
              <w:spacing w:before="0" w:after="0" w:line="240" w:lineRule="exact"/>
              <w:ind w:left="84" w:leftChars="40" w:right="84" w:rightChars="40"/>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其他业务成本</w:t>
            </w:r>
          </w:p>
        </w:tc>
        <w:tc>
          <w:tcPr>
            <w:tcW w:w="722" w:type="pct"/>
            <w:shd w:val="clear" w:color="auto" w:fill="auto"/>
            <w:tcMar>
              <w:top w:w="15" w:type="dxa"/>
              <w:left w:w="15" w:type="dxa"/>
              <w:right w:w="15" w:type="dxa"/>
            </w:tcMar>
            <w:vAlign w:val="center"/>
          </w:tcPr>
          <w:p w14:paraId="0E542386">
            <w:pPr>
              <w:keepNext w:val="0"/>
              <w:keepLines w:val="0"/>
              <w:pageBreakBefore w:val="0"/>
              <w:widowControl w:val="0"/>
              <w:kinsoku/>
              <w:wordWrap/>
              <w:overflowPunct/>
              <w:topLinePunct w:val="0"/>
              <w:autoSpaceDE/>
              <w:autoSpaceDN/>
              <w:bidi w:val="0"/>
              <w:adjustRightInd/>
              <w:snapToGrid/>
              <w:spacing w:before="0" w:after="0" w:line="240" w:lineRule="exact"/>
              <w:ind w:left="84" w:leftChars="40" w:right="84" w:rightChars="40"/>
              <w:jc w:val="righ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124,841.83</w:t>
            </w:r>
          </w:p>
        </w:tc>
        <w:tc>
          <w:tcPr>
            <w:tcW w:w="730" w:type="pct"/>
            <w:shd w:val="clear" w:color="auto" w:fill="auto"/>
            <w:tcMar>
              <w:top w:w="15" w:type="dxa"/>
              <w:left w:w="15" w:type="dxa"/>
              <w:right w:w="15" w:type="dxa"/>
            </w:tcMar>
            <w:vAlign w:val="center"/>
          </w:tcPr>
          <w:p w14:paraId="7A75E0BC">
            <w:pPr>
              <w:keepNext w:val="0"/>
              <w:keepLines w:val="0"/>
              <w:pageBreakBefore w:val="0"/>
              <w:widowControl w:val="0"/>
              <w:kinsoku/>
              <w:wordWrap/>
              <w:overflowPunct/>
              <w:topLinePunct w:val="0"/>
              <w:autoSpaceDE/>
              <w:autoSpaceDN/>
              <w:bidi w:val="0"/>
              <w:adjustRightInd/>
              <w:snapToGrid/>
              <w:spacing w:before="0" w:after="0" w:line="240" w:lineRule="exact"/>
              <w:ind w:left="84" w:leftChars="40" w:right="84" w:rightChars="40"/>
              <w:jc w:val="righ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182,775.98</w:t>
            </w:r>
          </w:p>
        </w:tc>
        <w:tc>
          <w:tcPr>
            <w:tcW w:w="661" w:type="pct"/>
            <w:shd w:val="clear" w:color="auto" w:fill="auto"/>
            <w:tcMar>
              <w:top w:w="15" w:type="dxa"/>
              <w:left w:w="15" w:type="dxa"/>
              <w:right w:w="15" w:type="dxa"/>
            </w:tcMar>
            <w:vAlign w:val="center"/>
          </w:tcPr>
          <w:p w14:paraId="75EBECDC">
            <w:pPr>
              <w:keepNext w:val="0"/>
              <w:keepLines w:val="0"/>
              <w:pageBreakBefore w:val="0"/>
              <w:widowControl w:val="0"/>
              <w:kinsoku/>
              <w:wordWrap/>
              <w:overflowPunct/>
              <w:topLinePunct w:val="0"/>
              <w:autoSpaceDE/>
              <w:autoSpaceDN/>
              <w:bidi w:val="0"/>
              <w:adjustRightInd/>
              <w:snapToGrid/>
              <w:spacing w:before="0" w:after="0" w:line="240" w:lineRule="exact"/>
              <w:ind w:left="84" w:leftChars="40" w:right="84" w:rightChars="40"/>
              <w:jc w:val="righ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-31.70%</w:t>
            </w:r>
          </w:p>
        </w:tc>
        <w:tc>
          <w:tcPr>
            <w:tcW w:w="2194" w:type="pct"/>
            <w:shd w:val="clear" w:color="auto" w:fill="auto"/>
            <w:tcMar>
              <w:top w:w="15" w:type="dxa"/>
              <w:left w:w="15" w:type="dxa"/>
              <w:right w:w="15" w:type="dxa"/>
            </w:tcMar>
            <w:vAlign w:val="center"/>
          </w:tcPr>
          <w:p w14:paraId="7DB7FFAF">
            <w:pPr>
              <w:keepNext w:val="0"/>
              <w:keepLines w:val="0"/>
              <w:pageBreakBefore w:val="0"/>
              <w:widowControl w:val="0"/>
              <w:kinsoku/>
              <w:wordWrap/>
              <w:overflowPunct/>
              <w:topLinePunct w:val="0"/>
              <w:autoSpaceDE/>
              <w:autoSpaceDN/>
              <w:bidi w:val="0"/>
              <w:adjustRightInd/>
              <w:snapToGrid/>
              <w:spacing w:before="0" w:after="0" w:line="240" w:lineRule="exact"/>
              <w:ind w:left="84" w:leftChars="40" w:right="84" w:rightChars="40"/>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主要系收回报告期内代缴租赁房屋水电费所致</w:t>
            </w:r>
          </w:p>
        </w:tc>
      </w:tr>
      <w:tr w14:paraId="0BBE1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691" w:type="pct"/>
            <w:shd w:val="clear" w:color="auto" w:fill="auto"/>
            <w:tcMar>
              <w:top w:w="15" w:type="dxa"/>
              <w:left w:w="15" w:type="dxa"/>
              <w:right w:w="15" w:type="dxa"/>
            </w:tcMar>
            <w:vAlign w:val="center"/>
          </w:tcPr>
          <w:p w14:paraId="6D924513">
            <w:pPr>
              <w:keepNext w:val="0"/>
              <w:keepLines w:val="0"/>
              <w:pageBreakBefore w:val="0"/>
              <w:widowControl w:val="0"/>
              <w:kinsoku/>
              <w:wordWrap/>
              <w:overflowPunct/>
              <w:topLinePunct w:val="0"/>
              <w:autoSpaceDE/>
              <w:autoSpaceDN/>
              <w:bidi w:val="0"/>
              <w:adjustRightInd/>
              <w:snapToGrid/>
              <w:spacing w:before="0" w:after="0" w:line="240" w:lineRule="exact"/>
              <w:ind w:left="84" w:leftChars="40" w:right="84" w:rightChars="40"/>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销售费用</w:t>
            </w:r>
          </w:p>
        </w:tc>
        <w:tc>
          <w:tcPr>
            <w:tcW w:w="722" w:type="pct"/>
            <w:shd w:val="clear" w:color="auto" w:fill="auto"/>
            <w:tcMar>
              <w:top w:w="15" w:type="dxa"/>
              <w:left w:w="15" w:type="dxa"/>
              <w:right w:w="15" w:type="dxa"/>
            </w:tcMar>
            <w:vAlign w:val="center"/>
          </w:tcPr>
          <w:p w14:paraId="1B3EBAE3">
            <w:pPr>
              <w:keepNext w:val="0"/>
              <w:keepLines w:val="0"/>
              <w:pageBreakBefore w:val="0"/>
              <w:widowControl w:val="0"/>
              <w:kinsoku/>
              <w:wordWrap/>
              <w:overflowPunct/>
              <w:topLinePunct w:val="0"/>
              <w:autoSpaceDE/>
              <w:autoSpaceDN/>
              <w:bidi w:val="0"/>
              <w:adjustRightInd/>
              <w:snapToGrid/>
              <w:spacing w:before="0" w:after="0" w:line="240" w:lineRule="exact"/>
              <w:ind w:left="84" w:leftChars="40" w:right="84" w:rightChars="40"/>
              <w:jc w:val="righ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6,512,715.85</w:t>
            </w:r>
          </w:p>
        </w:tc>
        <w:tc>
          <w:tcPr>
            <w:tcW w:w="730" w:type="pct"/>
            <w:shd w:val="clear" w:color="auto" w:fill="auto"/>
            <w:tcMar>
              <w:top w:w="15" w:type="dxa"/>
              <w:left w:w="15" w:type="dxa"/>
              <w:right w:w="15" w:type="dxa"/>
            </w:tcMar>
            <w:vAlign w:val="center"/>
          </w:tcPr>
          <w:p w14:paraId="7F4D81D3">
            <w:pPr>
              <w:keepNext w:val="0"/>
              <w:keepLines w:val="0"/>
              <w:pageBreakBefore w:val="0"/>
              <w:widowControl w:val="0"/>
              <w:kinsoku/>
              <w:wordWrap/>
              <w:overflowPunct/>
              <w:topLinePunct w:val="0"/>
              <w:autoSpaceDE/>
              <w:autoSpaceDN/>
              <w:bidi w:val="0"/>
              <w:adjustRightInd/>
              <w:snapToGrid/>
              <w:spacing w:before="0" w:after="0" w:line="240" w:lineRule="exact"/>
              <w:ind w:left="84" w:leftChars="40" w:right="84" w:rightChars="40"/>
              <w:jc w:val="righ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4,363,264.13</w:t>
            </w:r>
          </w:p>
        </w:tc>
        <w:tc>
          <w:tcPr>
            <w:tcW w:w="661" w:type="pct"/>
            <w:shd w:val="clear" w:color="auto" w:fill="auto"/>
            <w:tcMar>
              <w:top w:w="15" w:type="dxa"/>
              <w:left w:w="15" w:type="dxa"/>
              <w:right w:w="15" w:type="dxa"/>
            </w:tcMar>
            <w:vAlign w:val="center"/>
          </w:tcPr>
          <w:p w14:paraId="7F6767B9">
            <w:pPr>
              <w:keepNext w:val="0"/>
              <w:keepLines w:val="0"/>
              <w:pageBreakBefore w:val="0"/>
              <w:widowControl w:val="0"/>
              <w:kinsoku/>
              <w:wordWrap/>
              <w:overflowPunct/>
              <w:topLinePunct w:val="0"/>
              <w:autoSpaceDE/>
              <w:autoSpaceDN/>
              <w:bidi w:val="0"/>
              <w:adjustRightInd/>
              <w:snapToGrid/>
              <w:spacing w:before="0" w:after="0" w:line="240" w:lineRule="exact"/>
              <w:ind w:left="84" w:leftChars="40" w:right="84" w:rightChars="40"/>
              <w:jc w:val="righ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49.26%</w:t>
            </w:r>
          </w:p>
        </w:tc>
        <w:tc>
          <w:tcPr>
            <w:tcW w:w="2194" w:type="pct"/>
            <w:shd w:val="clear" w:color="auto" w:fill="auto"/>
            <w:tcMar>
              <w:top w:w="15" w:type="dxa"/>
              <w:left w:w="15" w:type="dxa"/>
              <w:right w:w="15" w:type="dxa"/>
            </w:tcMar>
            <w:vAlign w:val="center"/>
          </w:tcPr>
          <w:p w14:paraId="3063D4A2">
            <w:pPr>
              <w:keepNext w:val="0"/>
              <w:keepLines w:val="0"/>
              <w:pageBreakBefore w:val="0"/>
              <w:widowControl w:val="0"/>
              <w:kinsoku/>
              <w:wordWrap/>
              <w:overflowPunct/>
              <w:topLinePunct w:val="0"/>
              <w:autoSpaceDE/>
              <w:autoSpaceDN/>
              <w:bidi w:val="0"/>
              <w:adjustRightInd/>
              <w:snapToGrid/>
              <w:spacing w:before="0" w:after="0" w:line="240" w:lineRule="exact"/>
              <w:ind w:left="84" w:leftChars="40" w:right="84" w:rightChars="40"/>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主要系职工薪酬、促销费用、广告宣传费增加所致</w:t>
            </w:r>
          </w:p>
        </w:tc>
      </w:tr>
      <w:tr w14:paraId="0A3DB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691" w:type="pct"/>
            <w:shd w:val="clear" w:color="auto" w:fill="auto"/>
            <w:tcMar>
              <w:top w:w="15" w:type="dxa"/>
              <w:left w:w="15" w:type="dxa"/>
              <w:right w:w="15" w:type="dxa"/>
            </w:tcMar>
            <w:vAlign w:val="center"/>
          </w:tcPr>
          <w:p w14:paraId="41D3029C">
            <w:pPr>
              <w:keepNext w:val="0"/>
              <w:keepLines w:val="0"/>
              <w:pageBreakBefore w:val="0"/>
              <w:widowControl w:val="0"/>
              <w:kinsoku/>
              <w:wordWrap/>
              <w:overflowPunct/>
              <w:topLinePunct w:val="0"/>
              <w:autoSpaceDE/>
              <w:autoSpaceDN/>
              <w:bidi w:val="0"/>
              <w:adjustRightInd/>
              <w:snapToGrid/>
              <w:spacing w:before="0" w:after="0" w:line="240" w:lineRule="exact"/>
              <w:ind w:left="84" w:leftChars="40" w:right="84" w:rightChars="40"/>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研发费用</w:t>
            </w:r>
          </w:p>
        </w:tc>
        <w:tc>
          <w:tcPr>
            <w:tcW w:w="722" w:type="pct"/>
            <w:shd w:val="clear" w:color="auto" w:fill="auto"/>
            <w:tcMar>
              <w:top w:w="15" w:type="dxa"/>
              <w:left w:w="15" w:type="dxa"/>
              <w:right w:w="15" w:type="dxa"/>
            </w:tcMar>
            <w:vAlign w:val="center"/>
          </w:tcPr>
          <w:p w14:paraId="1ADF51DC">
            <w:pPr>
              <w:keepNext w:val="0"/>
              <w:keepLines w:val="0"/>
              <w:pageBreakBefore w:val="0"/>
              <w:widowControl w:val="0"/>
              <w:kinsoku/>
              <w:wordWrap/>
              <w:overflowPunct/>
              <w:topLinePunct w:val="0"/>
              <w:autoSpaceDE/>
              <w:autoSpaceDN/>
              <w:bidi w:val="0"/>
              <w:adjustRightInd/>
              <w:snapToGrid/>
              <w:spacing w:before="0" w:after="0" w:line="240" w:lineRule="exact"/>
              <w:ind w:left="84" w:leftChars="40" w:right="84" w:rightChars="40"/>
              <w:jc w:val="righ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1,521,135.10</w:t>
            </w:r>
          </w:p>
        </w:tc>
        <w:tc>
          <w:tcPr>
            <w:tcW w:w="730" w:type="pct"/>
            <w:shd w:val="clear" w:color="auto" w:fill="auto"/>
            <w:tcMar>
              <w:top w:w="15" w:type="dxa"/>
              <w:left w:w="15" w:type="dxa"/>
              <w:right w:w="15" w:type="dxa"/>
            </w:tcMar>
            <w:vAlign w:val="center"/>
          </w:tcPr>
          <w:p w14:paraId="1625CC7B">
            <w:pPr>
              <w:keepNext w:val="0"/>
              <w:keepLines w:val="0"/>
              <w:pageBreakBefore w:val="0"/>
              <w:widowControl w:val="0"/>
              <w:kinsoku/>
              <w:wordWrap/>
              <w:overflowPunct/>
              <w:topLinePunct w:val="0"/>
              <w:autoSpaceDE/>
              <w:autoSpaceDN/>
              <w:bidi w:val="0"/>
              <w:adjustRightInd/>
              <w:snapToGrid/>
              <w:spacing w:before="0" w:after="0" w:line="240" w:lineRule="exact"/>
              <w:ind w:left="84" w:leftChars="40" w:right="84" w:rightChars="40"/>
              <w:jc w:val="righ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337,221.40</w:t>
            </w:r>
          </w:p>
        </w:tc>
        <w:tc>
          <w:tcPr>
            <w:tcW w:w="661" w:type="pct"/>
            <w:shd w:val="clear" w:color="auto" w:fill="auto"/>
            <w:tcMar>
              <w:top w:w="15" w:type="dxa"/>
              <w:left w:w="15" w:type="dxa"/>
              <w:right w:w="15" w:type="dxa"/>
            </w:tcMar>
            <w:vAlign w:val="center"/>
          </w:tcPr>
          <w:p w14:paraId="6F72179F">
            <w:pPr>
              <w:keepNext w:val="0"/>
              <w:keepLines w:val="0"/>
              <w:pageBreakBefore w:val="0"/>
              <w:widowControl w:val="0"/>
              <w:kinsoku/>
              <w:wordWrap/>
              <w:overflowPunct/>
              <w:topLinePunct w:val="0"/>
              <w:autoSpaceDE/>
              <w:autoSpaceDN/>
              <w:bidi w:val="0"/>
              <w:adjustRightInd/>
              <w:snapToGrid/>
              <w:spacing w:before="0" w:after="0" w:line="240" w:lineRule="exact"/>
              <w:ind w:left="84" w:leftChars="40" w:right="84" w:rightChars="40"/>
              <w:jc w:val="righ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351.08%</w:t>
            </w:r>
          </w:p>
        </w:tc>
        <w:tc>
          <w:tcPr>
            <w:tcW w:w="2194" w:type="pct"/>
            <w:shd w:val="clear" w:color="auto" w:fill="auto"/>
            <w:tcMar>
              <w:top w:w="15" w:type="dxa"/>
              <w:left w:w="15" w:type="dxa"/>
              <w:right w:w="15" w:type="dxa"/>
            </w:tcMar>
            <w:vAlign w:val="center"/>
          </w:tcPr>
          <w:p w14:paraId="143DCC0B">
            <w:pPr>
              <w:keepNext w:val="0"/>
              <w:keepLines w:val="0"/>
              <w:pageBreakBefore w:val="0"/>
              <w:widowControl w:val="0"/>
              <w:kinsoku/>
              <w:wordWrap/>
              <w:overflowPunct/>
              <w:topLinePunct w:val="0"/>
              <w:autoSpaceDE/>
              <w:autoSpaceDN/>
              <w:bidi w:val="0"/>
              <w:adjustRightInd/>
              <w:snapToGrid/>
              <w:spacing w:before="0" w:after="0" w:line="240" w:lineRule="exact"/>
              <w:ind w:left="84" w:leftChars="40" w:right="84" w:rightChars="40"/>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主要系加大研发投入、增加研发人员所致</w:t>
            </w:r>
          </w:p>
        </w:tc>
      </w:tr>
      <w:tr w14:paraId="07B09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3" w:hRule="atLeast"/>
        </w:trPr>
        <w:tc>
          <w:tcPr>
            <w:tcW w:w="691" w:type="pct"/>
            <w:shd w:val="clear" w:color="auto" w:fill="auto"/>
            <w:tcMar>
              <w:top w:w="15" w:type="dxa"/>
              <w:left w:w="15" w:type="dxa"/>
              <w:right w:w="15" w:type="dxa"/>
            </w:tcMar>
            <w:vAlign w:val="center"/>
          </w:tcPr>
          <w:p w14:paraId="6BDF1800">
            <w:pPr>
              <w:keepNext w:val="0"/>
              <w:keepLines w:val="0"/>
              <w:pageBreakBefore w:val="0"/>
              <w:widowControl w:val="0"/>
              <w:kinsoku/>
              <w:wordWrap/>
              <w:overflowPunct/>
              <w:topLinePunct w:val="0"/>
              <w:autoSpaceDE/>
              <w:autoSpaceDN/>
              <w:bidi w:val="0"/>
              <w:adjustRightInd/>
              <w:snapToGrid/>
              <w:spacing w:before="0" w:after="0" w:line="240" w:lineRule="exact"/>
              <w:ind w:left="84" w:leftChars="40" w:right="84" w:rightChars="40"/>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投资收益</w:t>
            </w:r>
          </w:p>
        </w:tc>
        <w:tc>
          <w:tcPr>
            <w:tcW w:w="722" w:type="pct"/>
            <w:shd w:val="clear" w:color="auto" w:fill="auto"/>
            <w:tcMar>
              <w:top w:w="15" w:type="dxa"/>
              <w:left w:w="15" w:type="dxa"/>
              <w:right w:w="15" w:type="dxa"/>
            </w:tcMar>
            <w:vAlign w:val="center"/>
          </w:tcPr>
          <w:p w14:paraId="285149AF">
            <w:pPr>
              <w:keepNext w:val="0"/>
              <w:keepLines w:val="0"/>
              <w:pageBreakBefore w:val="0"/>
              <w:widowControl w:val="0"/>
              <w:kinsoku/>
              <w:wordWrap/>
              <w:overflowPunct/>
              <w:topLinePunct w:val="0"/>
              <w:autoSpaceDE/>
              <w:autoSpaceDN/>
              <w:bidi w:val="0"/>
              <w:adjustRightInd/>
              <w:snapToGrid/>
              <w:spacing w:before="0" w:after="0" w:line="240" w:lineRule="exact"/>
              <w:ind w:left="84" w:leftChars="40" w:right="84" w:rightChars="40"/>
              <w:jc w:val="righ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1,669,180.16</w:t>
            </w:r>
          </w:p>
        </w:tc>
        <w:tc>
          <w:tcPr>
            <w:tcW w:w="730" w:type="pct"/>
            <w:shd w:val="clear" w:color="auto" w:fill="auto"/>
            <w:tcMar>
              <w:top w:w="15" w:type="dxa"/>
              <w:left w:w="15" w:type="dxa"/>
              <w:right w:w="15" w:type="dxa"/>
            </w:tcMar>
            <w:vAlign w:val="center"/>
          </w:tcPr>
          <w:p w14:paraId="52D6D292">
            <w:pPr>
              <w:keepNext w:val="0"/>
              <w:keepLines w:val="0"/>
              <w:pageBreakBefore w:val="0"/>
              <w:widowControl w:val="0"/>
              <w:kinsoku/>
              <w:wordWrap/>
              <w:overflowPunct/>
              <w:topLinePunct w:val="0"/>
              <w:autoSpaceDE/>
              <w:autoSpaceDN/>
              <w:bidi w:val="0"/>
              <w:adjustRightInd/>
              <w:snapToGrid/>
              <w:spacing w:before="0" w:after="0" w:line="240" w:lineRule="exact"/>
              <w:ind w:left="84" w:leftChars="40" w:right="84" w:rightChars="40"/>
              <w:jc w:val="righ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4,166,409.47</w:t>
            </w:r>
          </w:p>
        </w:tc>
        <w:tc>
          <w:tcPr>
            <w:tcW w:w="661" w:type="pct"/>
            <w:shd w:val="clear" w:color="auto" w:fill="auto"/>
            <w:tcMar>
              <w:top w:w="15" w:type="dxa"/>
              <w:left w:w="15" w:type="dxa"/>
              <w:right w:w="15" w:type="dxa"/>
            </w:tcMar>
            <w:vAlign w:val="center"/>
          </w:tcPr>
          <w:p w14:paraId="52911887">
            <w:pPr>
              <w:keepNext w:val="0"/>
              <w:keepLines w:val="0"/>
              <w:pageBreakBefore w:val="0"/>
              <w:widowControl w:val="0"/>
              <w:kinsoku/>
              <w:wordWrap/>
              <w:overflowPunct/>
              <w:topLinePunct w:val="0"/>
              <w:autoSpaceDE/>
              <w:autoSpaceDN/>
              <w:bidi w:val="0"/>
              <w:adjustRightInd/>
              <w:snapToGrid/>
              <w:spacing w:before="0" w:after="0" w:line="240" w:lineRule="exact"/>
              <w:ind w:left="84" w:leftChars="40" w:right="84" w:rightChars="40"/>
              <w:jc w:val="righ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-59.94%</w:t>
            </w:r>
          </w:p>
        </w:tc>
        <w:tc>
          <w:tcPr>
            <w:tcW w:w="2194" w:type="pct"/>
            <w:shd w:val="clear" w:color="auto" w:fill="auto"/>
            <w:tcMar>
              <w:top w:w="15" w:type="dxa"/>
              <w:left w:w="15" w:type="dxa"/>
              <w:right w:w="15" w:type="dxa"/>
            </w:tcMar>
            <w:vAlign w:val="center"/>
          </w:tcPr>
          <w:p w14:paraId="201E5746">
            <w:pPr>
              <w:keepNext w:val="0"/>
              <w:keepLines w:val="0"/>
              <w:pageBreakBefore w:val="0"/>
              <w:widowControl w:val="0"/>
              <w:kinsoku/>
              <w:wordWrap/>
              <w:overflowPunct/>
              <w:topLinePunct w:val="0"/>
              <w:autoSpaceDE/>
              <w:autoSpaceDN/>
              <w:bidi w:val="0"/>
              <w:adjustRightInd/>
              <w:snapToGrid/>
              <w:spacing w:before="0" w:after="0" w:line="240" w:lineRule="exact"/>
              <w:ind w:left="84" w:leftChars="40" w:right="84" w:rightChars="40"/>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主要系合营企业利润影响所致</w:t>
            </w:r>
          </w:p>
        </w:tc>
      </w:tr>
      <w:tr w14:paraId="0C517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3" w:hRule="atLeast"/>
        </w:trPr>
        <w:tc>
          <w:tcPr>
            <w:tcW w:w="691" w:type="pct"/>
            <w:shd w:val="clear" w:color="auto" w:fill="auto"/>
            <w:tcMar>
              <w:top w:w="15" w:type="dxa"/>
              <w:left w:w="15" w:type="dxa"/>
              <w:right w:w="15" w:type="dxa"/>
            </w:tcMar>
            <w:vAlign w:val="center"/>
          </w:tcPr>
          <w:p w14:paraId="7813FA42">
            <w:pPr>
              <w:keepNext w:val="0"/>
              <w:keepLines w:val="0"/>
              <w:pageBreakBefore w:val="0"/>
              <w:widowControl w:val="0"/>
              <w:kinsoku/>
              <w:wordWrap/>
              <w:overflowPunct/>
              <w:topLinePunct w:val="0"/>
              <w:autoSpaceDE/>
              <w:autoSpaceDN/>
              <w:bidi w:val="0"/>
              <w:adjustRightInd/>
              <w:snapToGrid/>
              <w:spacing w:before="0" w:after="0" w:line="240" w:lineRule="exact"/>
              <w:ind w:left="84" w:leftChars="40" w:right="84" w:rightChars="40"/>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资产处置收益</w:t>
            </w:r>
          </w:p>
        </w:tc>
        <w:tc>
          <w:tcPr>
            <w:tcW w:w="722" w:type="pct"/>
            <w:shd w:val="clear" w:color="auto" w:fill="auto"/>
            <w:tcMar>
              <w:top w:w="15" w:type="dxa"/>
              <w:left w:w="15" w:type="dxa"/>
              <w:right w:w="15" w:type="dxa"/>
            </w:tcMar>
            <w:vAlign w:val="center"/>
          </w:tcPr>
          <w:p w14:paraId="298DB6AE">
            <w:pPr>
              <w:keepNext w:val="0"/>
              <w:keepLines w:val="0"/>
              <w:pageBreakBefore w:val="0"/>
              <w:widowControl w:val="0"/>
              <w:kinsoku/>
              <w:wordWrap/>
              <w:overflowPunct/>
              <w:topLinePunct w:val="0"/>
              <w:autoSpaceDE/>
              <w:autoSpaceDN/>
              <w:bidi w:val="0"/>
              <w:adjustRightInd/>
              <w:snapToGrid/>
              <w:spacing w:before="0" w:after="0" w:line="240" w:lineRule="exact"/>
              <w:ind w:left="84" w:leftChars="40" w:right="84" w:rightChars="40"/>
              <w:jc w:val="righ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44,323.77</w:t>
            </w:r>
          </w:p>
        </w:tc>
        <w:tc>
          <w:tcPr>
            <w:tcW w:w="730" w:type="pct"/>
            <w:shd w:val="clear" w:color="auto" w:fill="auto"/>
            <w:tcMar>
              <w:top w:w="15" w:type="dxa"/>
              <w:left w:w="15" w:type="dxa"/>
              <w:right w:w="15" w:type="dxa"/>
            </w:tcMar>
            <w:vAlign w:val="center"/>
          </w:tcPr>
          <w:p w14:paraId="25ABA40D">
            <w:pPr>
              <w:keepNext w:val="0"/>
              <w:keepLines w:val="0"/>
              <w:pageBreakBefore w:val="0"/>
              <w:widowControl w:val="0"/>
              <w:kinsoku/>
              <w:wordWrap/>
              <w:overflowPunct/>
              <w:topLinePunct w:val="0"/>
              <w:autoSpaceDE/>
              <w:autoSpaceDN/>
              <w:bidi w:val="0"/>
              <w:adjustRightInd/>
              <w:snapToGrid/>
              <w:spacing w:before="0" w:after="0" w:line="240" w:lineRule="exact"/>
              <w:ind w:left="84" w:leftChars="40" w:right="84" w:rightChars="4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p>
        </w:tc>
        <w:tc>
          <w:tcPr>
            <w:tcW w:w="661" w:type="pct"/>
            <w:shd w:val="clear" w:color="auto" w:fill="auto"/>
            <w:tcMar>
              <w:top w:w="15" w:type="dxa"/>
              <w:left w:w="15" w:type="dxa"/>
              <w:right w:w="15" w:type="dxa"/>
            </w:tcMar>
            <w:vAlign w:val="center"/>
          </w:tcPr>
          <w:p w14:paraId="1918A90F">
            <w:pPr>
              <w:keepNext w:val="0"/>
              <w:keepLines w:val="0"/>
              <w:pageBreakBefore w:val="0"/>
              <w:widowControl w:val="0"/>
              <w:kinsoku/>
              <w:wordWrap/>
              <w:overflowPunct/>
              <w:topLinePunct w:val="0"/>
              <w:autoSpaceDE/>
              <w:autoSpaceDN/>
              <w:bidi w:val="0"/>
              <w:adjustRightInd/>
              <w:snapToGrid/>
              <w:spacing w:before="0" w:after="0" w:line="240" w:lineRule="exact"/>
              <w:ind w:left="84" w:leftChars="40" w:right="84" w:rightChars="40"/>
              <w:jc w:val="righ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100.00%</w:t>
            </w:r>
          </w:p>
        </w:tc>
        <w:tc>
          <w:tcPr>
            <w:tcW w:w="2194" w:type="pct"/>
            <w:shd w:val="clear" w:color="auto" w:fill="auto"/>
            <w:tcMar>
              <w:top w:w="15" w:type="dxa"/>
              <w:left w:w="15" w:type="dxa"/>
              <w:right w:w="15" w:type="dxa"/>
            </w:tcMar>
            <w:vAlign w:val="center"/>
          </w:tcPr>
          <w:p w14:paraId="0BB37881">
            <w:pPr>
              <w:keepNext w:val="0"/>
              <w:keepLines w:val="0"/>
              <w:pageBreakBefore w:val="0"/>
              <w:widowControl w:val="0"/>
              <w:kinsoku/>
              <w:wordWrap/>
              <w:overflowPunct/>
              <w:topLinePunct w:val="0"/>
              <w:autoSpaceDE/>
              <w:autoSpaceDN/>
              <w:bidi w:val="0"/>
              <w:adjustRightInd/>
              <w:snapToGrid/>
              <w:spacing w:before="0" w:after="0" w:line="240" w:lineRule="exact"/>
              <w:ind w:left="84" w:leftChars="40" w:right="84" w:rightChars="40"/>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主要系固定资产处置收益所致</w:t>
            </w:r>
          </w:p>
        </w:tc>
      </w:tr>
      <w:tr w14:paraId="46241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691" w:type="pct"/>
            <w:shd w:val="clear" w:color="auto" w:fill="auto"/>
            <w:tcMar>
              <w:top w:w="15" w:type="dxa"/>
              <w:left w:w="15" w:type="dxa"/>
              <w:right w:w="15" w:type="dxa"/>
            </w:tcMar>
            <w:vAlign w:val="center"/>
          </w:tcPr>
          <w:p w14:paraId="46477324">
            <w:pPr>
              <w:keepNext w:val="0"/>
              <w:keepLines w:val="0"/>
              <w:pageBreakBefore w:val="0"/>
              <w:widowControl w:val="0"/>
              <w:kinsoku/>
              <w:wordWrap/>
              <w:overflowPunct/>
              <w:topLinePunct w:val="0"/>
              <w:autoSpaceDE/>
              <w:autoSpaceDN/>
              <w:bidi w:val="0"/>
              <w:adjustRightInd/>
              <w:snapToGrid/>
              <w:spacing w:before="0" w:after="0" w:line="240" w:lineRule="exact"/>
              <w:ind w:left="84" w:leftChars="40" w:right="84" w:rightChars="40"/>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营业外收入</w:t>
            </w:r>
          </w:p>
        </w:tc>
        <w:tc>
          <w:tcPr>
            <w:tcW w:w="722" w:type="pct"/>
            <w:shd w:val="clear" w:color="auto" w:fill="auto"/>
            <w:tcMar>
              <w:top w:w="15" w:type="dxa"/>
              <w:left w:w="15" w:type="dxa"/>
              <w:right w:w="15" w:type="dxa"/>
            </w:tcMar>
            <w:vAlign w:val="center"/>
          </w:tcPr>
          <w:p w14:paraId="4A7CA84D">
            <w:pPr>
              <w:keepNext w:val="0"/>
              <w:keepLines w:val="0"/>
              <w:pageBreakBefore w:val="0"/>
              <w:widowControl w:val="0"/>
              <w:kinsoku/>
              <w:wordWrap/>
              <w:overflowPunct/>
              <w:topLinePunct w:val="0"/>
              <w:autoSpaceDE/>
              <w:autoSpaceDN/>
              <w:bidi w:val="0"/>
              <w:adjustRightInd/>
              <w:snapToGrid/>
              <w:spacing w:before="0" w:after="0" w:line="240" w:lineRule="exact"/>
              <w:ind w:left="84" w:leftChars="40" w:right="84" w:rightChars="4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w:t>
            </w:r>
          </w:p>
        </w:tc>
        <w:tc>
          <w:tcPr>
            <w:tcW w:w="730" w:type="pct"/>
            <w:shd w:val="clear" w:color="auto" w:fill="auto"/>
            <w:tcMar>
              <w:top w:w="15" w:type="dxa"/>
              <w:left w:w="15" w:type="dxa"/>
              <w:right w:w="15" w:type="dxa"/>
            </w:tcMar>
            <w:vAlign w:val="center"/>
          </w:tcPr>
          <w:p w14:paraId="4BAAC50C">
            <w:pPr>
              <w:keepNext w:val="0"/>
              <w:keepLines w:val="0"/>
              <w:pageBreakBefore w:val="0"/>
              <w:widowControl w:val="0"/>
              <w:kinsoku/>
              <w:wordWrap/>
              <w:overflowPunct/>
              <w:topLinePunct w:val="0"/>
              <w:autoSpaceDE/>
              <w:autoSpaceDN/>
              <w:bidi w:val="0"/>
              <w:adjustRightInd/>
              <w:snapToGrid/>
              <w:spacing w:before="0" w:after="0" w:line="240" w:lineRule="exact"/>
              <w:ind w:left="84" w:leftChars="40" w:right="84" w:rightChars="40"/>
              <w:jc w:val="righ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4,716.81</w:t>
            </w:r>
          </w:p>
        </w:tc>
        <w:tc>
          <w:tcPr>
            <w:tcW w:w="661" w:type="pct"/>
            <w:shd w:val="clear" w:color="auto" w:fill="auto"/>
            <w:tcMar>
              <w:top w:w="15" w:type="dxa"/>
              <w:left w:w="15" w:type="dxa"/>
              <w:right w:w="15" w:type="dxa"/>
            </w:tcMar>
            <w:vAlign w:val="center"/>
          </w:tcPr>
          <w:p w14:paraId="01C836E9">
            <w:pPr>
              <w:keepNext w:val="0"/>
              <w:keepLines w:val="0"/>
              <w:pageBreakBefore w:val="0"/>
              <w:widowControl w:val="0"/>
              <w:kinsoku/>
              <w:wordWrap/>
              <w:overflowPunct/>
              <w:topLinePunct w:val="0"/>
              <w:autoSpaceDE/>
              <w:autoSpaceDN/>
              <w:bidi w:val="0"/>
              <w:adjustRightInd/>
              <w:snapToGrid/>
              <w:spacing w:before="0" w:after="0" w:line="240" w:lineRule="exact"/>
              <w:ind w:left="84" w:leftChars="40" w:right="84" w:rightChars="40"/>
              <w:jc w:val="righ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-100.00%</w:t>
            </w:r>
          </w:p>
        </w:tc>
        <w:tc>
          <w:tcPr>
            <w:tcW w:w="2194" w:type="pct"/>
            <w:shd w:val="clear" w:color="auto" w:fill="auto"/>
            <w:tcMar>
              <w:top w:w="15" w:type="dxa"/>
              <w:left w:w="15" w:type="dxa"/>
              <w:right w:w="15" w:type="dxa"/>
            </w:tcMar>
            <w:vAlign w:val="center"/>
          </w:tcPr>
          <w:p w14:paraId="314273B7">
            <w:pPr>
              <w:keepNext w:val="0"/>
              <w:keepLines w:val="0"/>
              <w:pageBreakBefore w:val="0"/>
              <w:widowControl w:val="0"/>
              <w:kinsoku/>
              <w:wordWrap/>
              <w:overflowPunct/>
              <w:topLinePunct w:val="0"/>
              <w:autoSpaceDE/>
              <w:autoSpaceDN/>
              <w:bidi w:val="0"/>
              <w:adjustRightInd/>
              <w:snapToGrid/>
              <w:spacing w:before="0" w:after="0" w:line="240" w:lineRule="exact"/>
              <w:ind w:left="84" w:leftChars="40" w:right="84" w:rightChars="40"/>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主要系收到的赔付款</w:t>
            </w:r>
          </w:p>
        </w:tc>
      </w:tr>
      <w:tr w14:paraId="5A58B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83" w:hRule="atLeast"/>
        </w:trPr>
        <w:tc>
          <w:tcPr>
            <w:tcW w:w="691" w:type="pct"/>
            <w:shd w:val="clear" w:color="auto" w:fill="auto"/>
            <w:tcMar>
              <w:top w:w="15" w:type="dxa"/>
              <w:left w:w="15" w:type="dxa"/>
              <w:right w:w="15" w:type="dxa"/>
            </w:tcMar>
            <w:vAlign w:val="center"/>
          </w:tcPr>
          <w:p w14:paraId="46775430">
            <w:pPr>
              <w:keepNext w:val="0"/>
              <w:keepLines w:val="0"/>
              <w:pageBreakBefore w:val="0"/>
              <w:widowControl w:val="0"/>
              <w:kinsoku/>
              <w:wordWrap/>
              <w:overflowPunct/>
              <w:topLinePunct w:val="0"/>
              <w:autoSpaceDE/>
              <w:autoSpaceDN/>
              <w:bidi w:val="0"/>
              <w:adjustRightInd/>
              <w:snapToGrid/>
              <w:spacing w:before="0" w:after="0" w:line="240" w:lineRule="exact"/>
              <w:ind w:left="84" w:leftChars="40" w:right="84" w:rightChars="40"/>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营业外支出</w:t>
            </w:r>
          </w:p>
        </w:tc>
        <w:tc>
          <w:tcPr>
            <w:tcW w:w="722" w:type="pct"/>
            <w:shd w:val="clear" w:color="auto" w:fill="auto"/>
            <w:tcMar>
              <w:top w:w="15" w:type="dxa"/>
              <w:left w:w="15" w:type="dxa"/>
              <w:right w:w="15" w:type="dxa"/>
            </w:tcMar>
            <w:vAlign w:val="center"/>
          </w:tcPr>
          <w:p w14:paraId="55170A26">
            <w:pPr>
              <w:keepNext w:val="0"/>
              <w:keepLines w:val="0"/>
              <w:pageBreakBefore w:val="0"/>
              <w:widowControl w:val="0"/>
              <w:kinsoku/>
              <w:wordWrap/>
              <w:overflowPunct/>
              <w:topLinePunct w:val="0"/>
              <w:autoSpaceDE/>
              <w:autoSpaceDN/>
              <w:bidi w:val="0"/>
              <w:adjustRightInd/>
              <w:snapToGrid/>
              <w:spacing w:before="0" w:after="0" w:line="240" w:lineRule="exact"/>
              <w:ind w:left="84" w:leftChars="40" w:right="84" w:rightChars="40"/>
              <w:jc w:val="righ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62,204.50</w:t>
            </w:r>
          </w:p>
        </w:tc>
        <w:tc>
          <w:tcPr>
            <w:tcW w:w="730" w:type="pct"/>
            <w:shd w:val="clear" w:color="auto" w:fill="auto"/>
            <w:tcMar>
              <w:top w:w="15" w:type="dxa"/>
              <w:left w:w="15" w:type="dxa"/>
              <w:right w:w="15" w:type="dxa"/>
            </w:tcMar>
            <w:vAlign w:val="center"/>
          </w:tcPr>
          <w:p w14:paraId="16ED65C4">
            <w:pPr>
              <w:keepNext w:val="0"/>
              <w:keepLines w:val="0"/>
              <w:pageBreakBefore w:val="0"/>
              <w:widowControl w:val="0"/>
              <w:kinsoku/>
              <w:wordWrap/>
              <w:overflowPunct/>
              <w:topLinePunct w:val="0"/>
              <w:autoSpaceDE/>
              <w:autoSpaceDN/>
              <w:bidi w:val="0"/>
              <w:adjustRightInd/>
              <w:snapToGrid/>
              <w:spacing w:before="0" w:after="0" w:line="240" w:lineRule="exact"/>
              <w:ind w:left="84" w:leftChars="40" w:right="84" w:rightChars="40"/>
              <w:jc w:val="center"/>
              <w:textAlignment w:val="auto"/>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w:t>
            </w:r>
          </w:p>
        </w:tc>
        <w:tc>
          <w:tcPr>
            <w:tcW w:w="661" w:type="pct"/>
            <w:shd w:val="clear" w:color="auto" w:fill="auto"/>
            <w:tcMar>
              <w:top w:w="15" w:type="dxa"/>
              <w:left w:w="15" w:type="dxa"/>
              <w:right w:w="15" w:type="dxa"/>
            </w:tcMar>
            <w:vAlign w:val="center"/>
          </w:tcPr>
          <w:p w14:paraId="219B4A05">
            <w:pPr>
              <w:keepNext w:val="0"/>
              <w:keepLines w:val="0"/>
              <w:pageBreakBefore w:val="0"/>
              <w:widowControl w:val="0"/>
              <w:kinsoku/>
              <w:wordWrap/>
              <w:overflowPunct/>
              <w:topLinePunct w:val="0"/>
              <w:autoSpaceDE/>
              <w:autoSpaceDN/>
              <w:bidi w:val="0"/>
              <w:adjustRightInd/>
              <w:snapToGrid/>
              <w:spacing w:before="0" w:after="0" w:line="240" w:lineRule="exact"/>
              <w:ind w:left="84" w:leftChars="40" w:right="84" w:rightChars="40"/>
              <w:jc w:val="righ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100.00%</w:t>
            </w:r>
          </w:p>
        </w:tc>
        <w:tc>
          <w:tcPr>
            <w:tcW w:w="2194" w:type="pct"/>
            <w:shd w:val="clear" w:color="auto" w:fill="auto"/>
            <w:tcMar>
              <w:top w:w="15" w:type="dxa"/>
              <w:left w:w="15" w:type="dxa"/>
              <w:right w:w="15" w:type="dxa"/>
            </w:tcMar>
            <w:vAlign w:val="center"/>
          </w:tcPr>
          <w:p w14:paraId="18841746">
            <w:pPr>
              <w:keepNext w:val="0"/>
              <w:keepLines w:val="0"/>
              <w:pageBreakBefore w:val="0"/>
              <w:widowControl w:val="0"/>
              <w:kinsoku/>
              <w:wordWrap/>
              <w:overflowPunct/>
              <w:topLinePunct w:val="0"/>
              <w:autoSpaceDE/>
              <w:autoSpaceDN/>
              <w:bidi w:val="0"/>
              <w:adjustRightInd/>
              <w:snapToGrid/>
              <w:spacing w:before="0" w:after="0" w:line="240" w:lineRule="exact"/>
              <w:ind w:left="84" w:leftChars="40" w:right="84" w:rightChars="40"/>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主要系报废固定资产损失所致</w:t>
            </w:r>
          </w:p>
        </w:tc>
      </w:tr>
    </w:tbl>
    <w:p w14:paraId="7D5BC232">
      <w:pPr>
        <w:numPr>
          <w:ilvl w:val="0"/>
          <w:numId w:val="0"/>
        </w:numPr>
        <w:spacing w:before="0" w:after="0" w:line="240" w:lineRule="exact"/>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三、现金流量表项目</w:t>
      </w:r>
    </w:p>
    <w:p w14:paraId="1846CD9C">
      <w:pPr>
        <w:spacing w:before="0" w:after="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499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092"/>
        <w:gridCol w:w="1538"/>
        <w:gridCol w:w="1416"/>
        <w:gridCol w:w="1184"/>
        <w:gridCol w:w="3425"/>
      </w:tblGrid>
      <w:tr w14:paraId="3747B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20" w:hRule="atLeast"/>
        </w:trPr>
        <w:tc>
          <w:tcPr>
            <w:tcW w:w="1083" w:type="pct"/>
            <w:tcBorders>
              <w:top w:val="single" w:color="000000" w:sz="8" w:space="0"/>
              <w:left w:val="single" w:color="000000" w:sz="8" w:space="0"/>
              <w:bottom w:val="single" w:color="000000" w:sz="8" w:space="0"/>
              <w:right w:val="single" w:color="000000" w:sz="8" w:space="0"/>
            </w:tcBorders>
            <w:shd w:val="clear" w:color="auto" w:fill="BEBEBE" w:themeFill="background1" w:themeFillShade="BF"/>
            <w:tcMar>
              <w:top w:w="15" w:type="dxa"/>
              <w:left w:w="15" w:type="dxa"/>
              <w:right w:w="15" w:type="dxa"/>
            </w:tcMar>
            <w:vAlign w:val="center"/>
          </w:tcPr>
          <w:p w14:paraId="102D1798">
            <w:pPr>
              <w:keepNext w:val="0"/>
              <w:keepLines w:val="0"/>
              <w:pageBreakBefore w:val="0"/>
              <w:widowControl w:val="0"/>
              <w:kinsoku/>
              <w:wordWrap/>
              <w:overflowPunct/>
              <w:topLinePunct w:val="0"/>
              <w:autoSpaceDE/>
              <w:autoSpaceDN/>
              <w:bidi w:val="0"/>
              <w:adjustRightInd/>
              <w:snapToGrid/>
              <w:spacing w:before="0" w:after="0" w:line="240" w:lineRule="exact"/>
              <w:ind w:left="84" w:leftChars="40" w:right="84" w:rightChars="4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项目</w:t>
            </w:r>
          </w:p>
        </w:tc>
        <w:tc>
          <w:tcPr>
            <w:tcW w:w="796" w:type="pct"/>
            <w:tcBorders>
              <w:top w:val="single" w:color="auto" w:sz="8" w:space="0"/>
              <w:left w:val="nil"/>
              <w:bottom w:val="single" w:color="auto" w:sz="8" w:space="0"/>
              <w:right w:val="single" w:color="auto" w:sz="8" w:space="0"/>
            </w:tcBorders>
            <w:shd w:val="clear" w:color="auto" w:fill="BEBEBE" w:themeFill="background1" w:themeFillShade="BF"/>
            <w:tcMar>
              <w:top w:w="15" w:type="dxa"/>
              <w:left w:w="15" w:type="dxa"/>
              <w:right w:w="15" w:type="dxa"/>
            </w:tcMar>
            <w:vAlign w:val="center"/>
          </w:tcPr>
          <w:p w14:paraId="31C8FDF7">
            <w:pPr>
              <w:keepNext w:val="0"/>
              <w:keepLines w:val="0"/>
              <w:pageBreakBefore w:val="0"/>
              <w:widowControl w:val="0"/>
              <w:kinsoku/>
              <w:wordWrap/>
              <w:overflowPunct/>
              <w:topLinePunct w:val="0"/>
              <w:autoSpaceDE/>
              <w:autoSpaceDN/>
              <w:bidi w:val="0"/>
              <w:adjustRightInd/>
              <w:snapToGrid/>
              <w:spacing w:before="0" w:after="0" w:line="240" w:lineRule="exact"/>
              <w:ind w:left="84" w:leftChars="40" w:right="84" w:rightChars="4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2025年1-3月</w:t>
            </w:r>
          </w:p>
        </w:tc>
        <w:tc>
          <w:tcPr>
            <w:tcW w:w="733" w:type="pct"/>
            <w:tcBorders>
              <w:top w:val="single" w:color="auto" w:sz="8" w:space="0"/>
              <w:left w:val="nil"/>
              <w:bottom w:val="single" w:color="auto" w:sz="8" w:space="0"/>
              <w:right w:val="single" w:color="auto" w:sz="8" w:space="0"/>
            </w:tcBorders>
            <w:shd w:val="clear" w:color="auto" w:fill="BEBEBE" w:themeFill="background1" w:themeFillShade="BF"/>
            <w:tcMar>
              <w:top w:w="15" w:type="dxa"/>
              <w:left w:w="15" w:type="dxa"/>
              <w:right w:w="15" w:type="dxa"/>
            </w:tcMar>
            <w:vAlign w:val="center"/>
          </w:tcPr>
          <w:p w14:paraId="5F61F3FD">
            <w:pPr>
              <w:keepNext w:val="0"/>
              <w:keepLines w:val="0"/>
              <w:pageBreakBefore w:val="0"/>
              <w:widowControl w:val="0"/>
              <w:kinsoku/>
              <w:wordWrap/>
              <w:overflowPunct/>
              <w:topLinePunct w:val="0"/>
              <w:autoSpaceDE/>
              <w:autoSpaceDN/>
              <w:bidi w:val="0"/>
              <w:adjustRightInd/>
              <w:snapToGrid/>
              <w:spacing w:before="0" w:after="0" w:line="240" w:lineRule="exact"/>
              <w:ind w:left="84" w:leftChars="40" w:right="84" w:rightChars="4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2024年1-3月</w:t>
            </w:r>
          </w:p>
        </w:tc>
        <w:tc>
          <w:tcPr>
            <w:tcW w:w="613" w:type="pct"/>
            <w:tcBorders>
              <w:top w:val="single" w:color="auto" w:sz="8" w:space="0"/>
              <w:left w:val="nil"/>
              <w:bottom w:val="single" w:color="auto" w:sz="8" w:space="0"/>
              <w:right w:val="single" w:color="auto" w:sz="8" w:space="0"/>
            </w:tcBorders>
            <w:shd w:val="clear" w:color="auto" w:fill="BEBEBE" w:themeFill="background1" w:themeFillShade="BF"/>
            <w:tcMar>
              <w:top w:w="15" w:type="dxa"/>
              <w:left w:w="15" w:type="dxa"/>
              <w:right w:w="15" w:type="dxa"/>
            </w:tcMar>
            <w:vAlign w:val="center"/>
          </w:tcPr>
          <w:p w14:paraId="644F77FD">
            <w:pPr>
              <w:keepNext w:val="0"/>
              <w:keepLines w:val="0"/>
              <w:pageBreakBefore w:val="0"/>
              <w:widowControl w:val="0"/>
              <w:kinsoku/>
              <w:wordWrap/>
              <w:overflowPunct/>
              <w:topLinePunct w:val="0"/>
              <w:autoSpaceDE/>
              <w:autoSpaceDN/>
              <w:bidi w:val="0"/>
              <w:adjustRightInd/>
              <w:snapToGrid/>
              <w:spacing w:before="0" w:after="0" w:line="240" w:lineRule="exact"/>
              <w:ind w:left="84" w:leftChars="40" w:right="84" w:rightChars="4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增减变动率</w:t>
            </w:r>
          </w:p>
        </w:tc>
        <w:tc>
          <w:tcPr>
            <w:tcW w:w="1773" w:type="pct"/>
            <w:tcBorders>
              <w:top w:val="single" w:color="auto" w:sz="8" w:space="0"/>
              <w:left w:val="nil"/>
              <w:bottom w:val="single" w:color="auto" w:sz="8" w:space="0"/>
              <w:right w:val="single" w:color="auto" w:sz="8" w:space="0"/>
            </w:tcBorders>
            <w:shd w:val="clear" w:color="auto" w:fill="BEBEBE" w:themeFill="background1" w:themeFillShade="BF"/>
            <w:tcMar>
              <w:top w:w="15" w:type="dxa"/>
              <w:left w:w="15" w:type="dxa"/>
              <w:right w:w="15" w:type="dxa"/>
            </w:tcMar>
            <w:vAlign w:val="center"/>
          </w:tcPr>
          <w:p w14:paraId="69C49563">
            <w:pPr>
              <w:keepNext w:val="0"/>
              <w:keepLines w:val="0"/>
              <w:pageBreakBefore w:val="0"/>
              <w:widowControl w:val="0"/>
              <w:kinsoku/>
              <w:wordWrap/>
              <w:overflowPunct/>
              <w:topLinePunct w:val="0"/>
              <w:autoSpaceDE/>
              <w:autoSpaceDN/>
              <w:bidi w:val="0"/>
              <w:adjustRightInd/>
              <w:snapToGrid/>
              <w:spacing w:before="0" w:after="0" w:line="240" w:lineRule="exact"/>
              <w:ind w:left="84" w:leftChars="40" w:right="84" w:rightChars="40"/>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情况说明、主要原因分析</w:t>
            </w:r>
          </w:p>
        </w:tc>
      </w:tr>
      <w:tr w14:paraId="5AEA3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1083" w:type="pct"/>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center"/>
          </w:tcPr>
          <w:p w14:paraId="61DF83BD">
            <w:pPr>
              <w:keepNext w:val="0"/>
              <w:keepLines w:val="0"/>
              <w:pageBreakBefore w:val="0"/>
              <w:widowControl w:val="0"/>
              <w:kinsoku/>
              <w:wordWrap/>
              <w:overflowPunct/>
              <w:topLinePunct w:val="0"/>
              <w:autoSpaceDE/>
              <w:autoSpaceDN/>
              <w:bidi w:val="0"/>
              <w:adjustRightInd/>
              <w:snapToGrid/>
              <w:spacing w:before="0" w:after="0" w:line="240" w:lineRule="exact"/>
              <w:ind w:left="84" w:leftChars="40" w:right="84" w:rightChars="40"/>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经营活动产生的现金流量净额</w:t>
            </w:r>
          </w:p>
        </w:tc>
        <w:tc>
          <w:tcPr>
            <w:tcW w:w="796" w:type="pct"/>
            <w:tcBorders>
              <w:top w:val="nil"/>
              <w:left w:val="nil"/>
              <w:bottom w:val="single" w:color="auto" w:sz="8" w:space="0"/>
              <w:right w:val="single" w:color="auto" w:sz="8" w:space="0"/>
            </w:tcBorders>
            <w:shd w:val="clear" w:color="auto" w:fill="auto"/>
            <w:tcMar>
              <w:top w:w="15" w:type="dxa"/>
              <w:left w:w="15" w:type="dxa"/>
              <w:right w:w="15" w:type="dxa"/>
            </w:tcMar>
            <w:vAlign w:val="center"/>
          </w:tcPr>
          <w:p w14:paraId="0ED2E40B">
            <w:pPr>
              <w:keepNext w:val="0"/>
              <w:keepLines w:val="0"/>
              <w:pageBreakBefore w:val="0"/>
              <w:widowControl w:val="0"/>
              <w:kinsoku/>
              <w:wordWrap/>
              <w:overflowPunct/>
              <w:topLinePunct w:val="0"/>
              <w:autoSpaceDE/>
              <w:autoSpaceDN/>
              <w:bidi w:val="0"/>
              <w:adjustRightInd/>
              <w:snapToGrid/>
              <w:spacing w:before="0" w:after="0" w:line="240" w:lineRule="exact"/>
              <w:ind w:left="84" w:leftChars="40" w:right="84" w:rightChars="40"/>
              <w:jc w:val="righ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5,496,965.14</w:t>
            </w:r>
          </w:p>
        </w:tc>
        <w:tc>
          <w:tcPr>
            <w:tcW w:w="733" w:type="pct"/>
            <w:tcBorders>
              <w:top w:val="nil"/>
              <w:left w:val="nil"/>
              <w:bottom w:val="single" w:color="auto" w:sz="8" w:space="0"/>
              <w:right w:val="single" w:color="auto" w:sz="8" w:space="0"/>
            </w:tcBorders>
            <w:shd w:val="clear" w:color="auto" w:fill="auto"/>
            <w:tcMar>
              <w:top w:w="15" w:type="dxa"/>
              <w:left w:w="15" w:type="dxa"/>
              <w:right w:w="15" w:type="dxa"/>
            </w:tcMar>
            <w:vAlign w:val="center"/>
          </w:tcPr>
          <w:p w14:paraId="02A5BF10">
            <w:pPr>
              <w:keepNext w:val="0"/>
              <w:keepLines w:val="0"/>
              <w:pageBreakBefore w:val="0"/>
              <w:widowControl w:val="0"/>
              <w:kinsoku/>
              <w:wordWrap/>
              <w:overflowPunct/>
              <w:topLinePunct w:val="0"/>
              <w:autoSpaceDE/>
              <w:autoSpaceDN/>
              <w:bidi w:val="0"/>
              <w:adjustRightInd/>
              <w:snapToGrid/>
              <w:spacing w:before="0" w:after="0" w:line="240" w:lineRule="exact"/>
              <w:ind w:left="84" w:leftChars="40" w:right="84" w:rightChars="40"/>
              <w:jc w:val="righ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-396,794.26</w:t>
            </w:r>
          </w:p>
        </w:tc>
        <w:tc>
          <w:tcPr>
            <w:tcW w:w="613" w:type="pct"/>
            <w:tcBorders>
              <w:top w:val="nil"/>
              <w:left w:val="nil"/>
              <w:bottom w:val="single" w:color="auto" w:sz="8" w:space="0"/>
              <w:right w:val="single" w:color="auto" w:sz="8" w:space="0"/>
            </w:tcBorders>
            <w:shd w:val="clear" w:color="auto" w:fill="auto"/>
            <w:tcMar>
              <w:top w:w="15" w:type="dxa"/>
              <w:left w:w="15" w:type="dxa"/>
              <w:right w:w="15" w:type="dxa"/>
            </w:tcMar>
            <w:vAlign w:val="center"/>
          </w:tcPr>
          <w:p w14:paraId="16A39F9F">
            <w:pPr>
              <w:keepNext w:val="0"/>
              <w:keepLines w:val="0"/>
              <w:pageBreakBefore w:val="0"/>
              <w:widowControl w:val="0"/>
              <w:kinsoku/>
              <w:wordWrap/>
              <w:overflowPunct/>
              <w:topLinePunct w:val="0"/>
              <w:autoSpaceDE/>
              <w:autoSpaceDN/>
              <w:bidi w:val="0"/>
              <w:adjustRightInd/>
              <w:snapToGrid/>
              <w:spacing w:before="0" w:after="0" w:line="240" w:lineRule="exact"/>
              <w:ind w:left="84" w:leftChars="40" w:right="84" w:rightChars="40"/>
              <w:jc w:val="righ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1485.34%</w:t>
            </w:r>
          </w:p>
        </w:tc>
        <w:tc>
          <w:tcPr>
            <w:tcW w:w="1773" w:type="pct"/>
            <w:tcBorders>
              <w:top w:val="nil"/>
              <w:left w:val="nil"/>
              <w:bottom w:val="single" w:color="auto" w:sz="8" w:space="0"/>
              <w:right w:val="single" w:color="auto" w:sz="8" w:space="0"/>
            </w:tcBorders>
            <w:shd w:val="clear" w:color="auto" w:fill="auto"/>
            <w:tcMar>
              <w:top w:w="15" w:type="dxa"/>
              <w:left w:w="15" w:type="dxa"/>
              <w:right w:w="15" w:type="dxa"/>
            </w:tcMar>
            <w:vAlign w:val="center"/>
          </w:tcPr>
          <w:p w14:paraId="375CFDCE">
            <w:pPr>
              <w:keepNext w:val="0"/>
              <w:keepLines w:val="0"/>
              <w:pageBreakBefore w:val="0"/>
              <w:widowControl w:val="0"/>
              <w:kinsoku/>
              <w:wordWrap/>
              <w:overflowPunct/>
              <w:topLinePunct w:val="0"/>
              <w:autoSpaceDE/>
              <w:autoSpaceDN/>
              <w:bidi w:val="0"/>
              <w:adjustRightInd/>
              <w:snapToGrid/>
              <w:spacing w:before="0" w:after="0" w:line="240" w:lineRule="exact"/>
              <w:ind w:left="84" w:leftChars="40" w:right="84" w:rightChars="40"/>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主要系销售商品收回的现金较去年同期增加所致</w:t>
            </w:r>
          </w:p>
        </w:tc>
      </w:tr>
      <w:tr w14:paraId="3A6EF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1083" w:type="pct"/>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center"/>
          </w:tcPr>
          <w:p w14:paraId="1BD2E821">
            <w:pPr>
              <w:keepNext w:val="0"/>
              <w:keepLines w:val="0"/>
              <w:pageBreakBefore w:val="0"/>
              <w:widowControl w:val="0"/>
              <w:kinsoku/>
              <w:wordWrap/>
              <w:overflowPunct/>
              <w:topLinePunct w:val="0"/>
              <w:autoSpaceDE/>
              <w:autoSpaceDN/>
              <w:bidi w:val="0"/>
              <w:adjustRightInd/>
              <w:snapToGrid/>
              <w:spacing w:before="0" w:after="0" w:line="240" w:lineRule="exact"/>
              <w:ind w:left="84" w:leftChars="40" w:right="84" w:rightChars="40"/>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投资活动产生的现金流量净额</w:t>
            </w:r>
          </w:p>
        </w:tc>
        <w:tc>
          <w:tcPr>
            <w:tcW w:w="796" w:type="pct"/>
            <w:tcBorders>
              <w:top w:val="nil"/>
              <w:left w:val="nil"/>
              <w:bottom w:val="single" w:color="auto" w:sz="8" w:space="0"/>
              <w:right w:val="single" w:color="auto" w:sz="8" w:space="0"/>
            </w:tcBorders>
            <w:shd w:val="clear" w:color="auto" w:fill="auto"/>
            <w:tcMar>
              <w:top w:w="15" w:type="dxa"/>
              <w:left w:w="15" w:type="dxa"/>
              <w:right w:w="15" w:type="dxa"/>
            </w:tcMar>
            <w:vAlign w:val="center"/>
          </w:tcPr>
          <w:p w14:paraId="21FA2E9F">
            <w:pPr>
              <w:keepNext w:val="0"/>
              <w:keepLines w:val="0"/>
              <w:pageBreakBefore w:val="0"/>
              <w:widowControl w:val="0"/>
              <w:kinsoku/>
              <w:wordWrap/>
              <w:overflowPunct/>
              <w:topLinePunct w:val="0"/>
              <w:autoSpaceDE/>
              <w:autoSpaceDN/>
              <w:bidi w:val="0"/>
              <w:adjustRightInd/>
              <w:snapToGrid/>
              <w:spacing w:before="0" w:after="0" w:line="240" w:lineRule="exact"/>
              <w:ind w:left="84" w:leftChars="40" w:right="84" w:rightChars="40"/>
              <w:jc w:val="righ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-19,770,330.07</w:t>
            </w:r>
          </w:p>
        </w:tc>
        <w:tc>
          <w:tcPr>
            <w:tcW w:w="733" w:type="pct"/>
            <w:tcBorders>
              <w:top w:val="nil"/>
              <w:left w:val="nil"/>
              <w:bottom w:val="single" w:color="auto" w:sz="8" w:space="0"/>
              <w:right w:val="single" w:color="auto" w:sz="8" w:space="0"/>
            </w:tcBorders>
            <w:shd w:val="clear" w:color="auto" w:fill="auto"/>
            <w:tcMar>
              <w:top w:w="15" w:type="dxa"/>
              <w:left w:w="15" w:type="dxa"/>
              <w:right w:w="15" w:type="dxa"/>
            </w:tcMar>
            <w:vAlign w:val="center"/>
          </w:tcPr>
          <w:p w14:paraId="7723AD24">
            <w:pPr>
              <w:keepNext w:val="0"/>
              <w:keepLines w:val="0"/>
              <w:pageBreakBefore w:val="0"/>
              <w:widowControl w:val="0"/>
              <w:kinsoku/>
              <w:wordWrap/>
              <w:overflowPunct/>
              <w:topLinePunct w:val="0"/>
              <w:autoSpaceDE/>
              <w:autoSpaceDN/>
              <w:bidi w:val="0"/>
              <w:adjustRightInd/>
              <w:snapToGrid/>
              <w:spacing w:before="0" w:after="0" w:line="240" w:lineRule="exact"/>
              <w:ind w:left="84" w:leftChars="40" w:right="84" w:rightChars="40"/>
              <w:jc w:val="righ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31,421,484.34</w:t>
            </w:r>
          </w:p>
        </w:tc>
        <w:tc>
          <w:tcPr>
            <w:tcW w:w="613" w:type="pct"/>
            <w:tcBorders>
              <w:top w:val="nil"/>
              <w:left w:val="nil"/>
              <w:bottom w:val="single" w:color="auto" w:sz="8" w:space="0"/>
              <w:right w:val="single" w:color="auto" w:sz="8" w:space="0"/>
            </w:tcBorders>
            <w:shd w:val="clear" w:color="auto" w:fill="auto"/>
            <w:tcMar>
              <w:top w:w="15" w:type="dxa"/>
              <w:left w:w="15" w:type="dxa"/>
              <w:right w:w="15" w:type="dxa"/>
            </w:tcMar>
            <w:vAlign w:val="center"/>
          </w:tcPr>
          <w:p w14:paraId="53CE6028">
            <w:pPr>
              <w:keepNext w:val="0"/>
              <w:keepLines w:val="0"/>
              <w:pageBreakBefore w:val="0"/>
              <w:widowControl w:val="0"/>
              <w:kinsoku/>
              <w:wordWrap/>
              <w:overflowPunct/>
              <w:topLinePunct w:val="0"/>
              <w:autoSpaceDE/>
              <w:autoSpaceDN/>
              <w:bidi w:val="0"/>
              <w:adjustRightInd/>
              <w:snapToGrid/>
              <w:spacing w:before="0" w:after="0" w:line="240" w:lineRule="exact"/>
              <w:ind w:left="84" w:leftChars="40" w:right="84" w:rightChars="40"/>
              <w:jc w:val="righ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-162.92%</w:t>
            </w:r>
          </w:p>
        </w:tc>
        <w:tc>
          <w:tcPr>
            <w:tcW w:w="1773" w:type="pct"/>
            <w:tcBorders>
              <w:top w:val="nil"/>
              <w:left w:val="nil"/>
              <w:bottom w:val="single" w:color="auto" w:sz="8" w:space="0"/>
              <w:right w:val="single" w:color="auto" w:sz="8" w:space="0"/>
            </w:tcBorders>
            <w:shd w:val="clear" w:color="auto" w:fill="auto"/>
            <w:tcMar>
              <w:top w:w="15" w:type="dxa"/>
              <w:left w:w="15" w:type="dxa"/>
              <w:right w:w="15" w:type="dxa"/>
            </w:tcMar>
            <w:vAlign w:val="center"/>
          </w:tcPr>
          <w:p w14:paraId="13DDA0CE">
            <w:pPr>
              <w:keepNext w:val="0"/>
              <w:keepLines w:val="0"/>
              <w:pageBreakBefore w:val="0"/>
              <w:widowControl w:val="0"/>
              <w:kinsoku/>
              <w:wordWrap/>
              <w:overflowPunct/>
              <w:topLinePunct w:val="0"/>
              <w:autoSpaceDE/>
              <w:autoSpaceDN/>
              <w:bidi w:val="0"/>
              <w:adjustRightInd/>
              <w:snapToGrid/>
              <w:spacing w:before="0" w:after="0" w:line="240" w:lineRule="exact"/>
              <w:ind w:left="84" w:leftChars="40" w:right="84" w:rightChars="40"/>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主要系购买结构性存款较去年增加所致</w:t>
            </w:r>
          </w:p>
        </w:tc>
      </w:tr>
      <w:tr w14:paraId="665E6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1083" w:type="pct"/>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center"/>
          </w:tcPr>
          <w:p w14:paraId="22E74C87">
            <w:pPr>
              <w:keepNext w:val="0"/>
              <w:keepLines w:val="0"/>
              <w:pageBreakBefore w:val="0"/>
              <w:widowControl w:val="0"/>
              <w:kinsoku/>
              <w:wordWrap/>
              <w:overflowPunct/>
              <w:topLinePunct w:val="0"/>
              <w:autoSpaceDE/>
              <w:autoSpaceDN/>
              <w:bidi w:val="0"/>
              <w:adjustRightInd/>
              <w:snapToGrid/>
              <w:spacing w:before="0" w:after="0" w:line="240" w:lineRule="exact"/>
              <w:ind w:left="84" w:leftChars="40" w:right="84" w:rightChars="40"/>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筹资活动产生的现金流量净额</w:t>
            </w:r>
          </w:p>
        </w:tc>
        <w:tc>
          <w:tcPr>
            <w:tcW w:w="796" w:type="pct"/>
            <w:tcBorders>
              <w:top w:val="nil"/>
              <w:left w:val="nil"/>
              <w:bottom w:val="single" w:color="auto" w:sz="8" w:space="0"/>
              <w:right w:val="single" w:color="auto" w:sz="8" w:space="0"/>
            </w:tcBorders>
            <w:shd w:val="clear" w:color="auto" w:fill="auto"/>
            <w:tcMar>
              <w:top w:w="15" w:type="dxa"/>
              <w:left w:w="15" w:type="dxa"/>
              <w:right w:w="15" w:type="dxa"/>
            </w:tcMar>
            <w:vAlign w:val="center"/>
          </w:tcPr>
          <w:p w14:paraId="560593A2">
            <w:pPr>
              <w:keepNext w:val="0"/>
              <w:keepLines w:val="0"/>
              <w:pageBreakBefore w:val="0"/>
              <w:widowControl w:val="0"/>
              <w:kinsoku/>
              <w:wordWrap/>
              <w:overflowPunct/>
              <w:topLinePunct w:val="0"/>
              <w:autoSpaceDE/>
              <w:autoSpaceDN/>
              <w:bidi w:val="0"/>
              <w:adjustRightInd/>
              <w:snapToGrid/>
              <w:spacing w:before="0" w:after="0" w:line="240" w:lineRule="exact"/>
              <w:ind w:left="84" w:leftChars="40" w:right="84" w:rightChars="40"/>
              <w:jc w:val="righ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-61,034.65</w:t>
            </w:r>
          </w:p>
        </w:tc>
        <w:tc>
          <w:tcPr>
            <w:tcW w:w="733" w:type="pct"/>
            <w:tcBorders>
              <w:top w:val="nil"/>
              <w:left w:val="nil"/>
              <w:bottom w:val="single" w:color="auto" w:sz="8" w:space="0"/>
              <w:right w:val="single" w:color="auto" w:sz="8" w:space="0"/>
            </w:tcBorders>
            <w:shd w:val="clear" w:color="auto" w:fill="auto"/>
            <w:tcMar>
              <w:top w:w="15" w:type="dxa"/>
              <w:left w:w="15" w:type="dxa"/>
              <w:right w:w="15" w:type="dxa"/>
            </w:tcMar>
            <w:vAlign w:val="center"/>
          </w:tcPr>
          <w:p w14:paraId="7E318D83">
            <w:pPr>
              <w:keepNext w:val="0"/>
              <w:keepLines w:val="0"/>
              <w:pageBreakBefore w:val="0"/>
              <w:widowControl w:val="0"/>
              <w:kinsoku/>
              <w:wordWrap/>
              <w:overflowPunct/>
              <w:topLinePunct w:val="0"/>
              <w:autoSpaceDE/>
              <w:autoSpaceDN/>
              <w:bidi w:val="0"/>
              <w:adjustRightInd/>
              <w:snapToGrid/>
              <w:spacing w:before="0" w:after="0" w:line="240" w:lineRule="exact"/>
              <w:ind w:left="84" w:leftChars="40" w:right="84" w:rightChars="40"/>
              <w:jc w:val="righ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-15,904.00</w:t>
            </w:r>
          </w:p>
        </w:tc>
        <w:tc>
          <w:tcPr>
            <w:tcW w:w="613" w:type="pct"/>
            <w:tcBorders>
              <w:top w:val="nil"/>
              <w:left w:val="nil"/>
              <w:bottom w:val="single" w:color="auto" w:sz="8" w:space="0"/>
              <w:right w:val="single" w:color="auto" w:sz="8" w:space="0"/>
            </w:tcBorders>
            <w:shd w:val="clear" w:color="auto" w:fill="auto"/>
            <w:tcMar>
              <w:top w:w="15" w:type="dxa"/>
              <w:left w:w="15" w:type="dxa"/>
              <w:right w:w="15" w:type="dxa"/>
            </w:tcMar>
            <w:vAlign w:val="center"/>
          </w:tcPr>
          <w:p w14:paraId="6959711D">
            <w:pPr>
              <w:keepNext w:val="0"/>
              <w:keepLines w:val="0"/>
              <w:pageBreakBefore w:val="0"/>
              <w:widowControl w:val="0"/>
              <w:kinsoku/>
              <w:wordWrap/>
              <w:overflowPunct/>
              <w:topLinePunct w:val="0"/>
              <w:autoSpaceDE/>
              <w:autoSpaceDN/>
              <w:bidi w:val="0"/>
              <w:adjustRightInd/>
              <w:snapToGrid/>
              <w:spacing w:before="0" w:after="0" w:line="240" w:lineRule="exact"/>
              <w:ind w:left="84" w:leftChars="40" w:right="84" w:rightChars="40"/>
              <w:jc w:val="righ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-283.77%</w:t>
            </w:r>
          </w:p>
        </w:tc>
        <w:tc>
          <w:tcPr>
            <w:tcW w:w="1773" w:type="pct"/>
            <w:tcBorders>
              <w:top w:val="nil"/>
              <w:left w:val="nil"/>
              <w:bottom w:val="single" w:color="auto" w:sz="8" w:space="0"/>
              <w:right w:val="single" w:color="auto" w:sz="8" w:space="0"/>
            </w:tcBorders>
            <w:shd w:val="clear" w:color="auto" w:fill="auto"/>
            <w:tcMar>
              <w:top w:w="15" w:type="dxa"/>
              <w:left w:w="15" w:type="dxa"/>
              <w:right w:w="15" w:type="dxa"/>
            </w:tcMar>
            <w:vAlign w:val="center"/>
          </w:tcPr>
          <w:p w14:paraId="3DD43018">
            <w:pPr>
              <w:keepNext w:val="0"/>
              <w:keepLines w:val="0"/>
              <w:pageBreakBefore w:val="0"/>
              <w:widowControl w:val="0"/>
              <w:kinsoku/>
              <w:wordWrap/>
              <w:overflowPunct/>
              <w:topLinePunct w:val="0"/>
              <w:autoSpaceDE/>
              <w:autoSpaceDN/>
              <w:bidi w:val="0"/>
              <w:adjustRightInd/>
              <w:snapToGrid/>
              <w:spacing w:before="0" w:after="0" w:line="240" w:lineRule="exact"/>
              <w:ind w:left="84" w:leftChars="40" w:right="84" w:rightChars="40"/>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主要系支付的未确权股东股利增加所致</w:t>
            </w:r>
          </w:p>
        </w:tc>
      </w:tr>
      <w:tr w14:paraId="3081C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1083" w:type="pct"/>
            <w:tcBorders>
              <w:top w:val="nil"/>
              <w:left w:val="single" w:color="auto" w:sz="8" w:space="0"/>
              <w:bottom w:val="single" w:color="auto" w:sz="8" w:space="0"/>
              <w:right w:val="single" w:color="auto" w:sz="8" w:space="0"/>
            </w:tcBorders>
            <w:shd w:val="clear" w:color="auto" w:fill="auto"/>
            <w:tcMar>
              <w:top w:w="15" w:type="dxa"/>
              <w:left w:w="15" w:type="dxa"/>
              <w:right w:w="15" w:type="dxa"/>
            </w:tcMar>
            <w:vAlign w:val="center"/>
          </w:tcPr>
          <w:p w14:paraId="4CA982AD">
            <w:pPr>
              <w:keepNext w:val="0"/>
              <w:keepLines w:val="0"/>
              <w:pageBreakBefore w:val="0"/>
              <w:widowControl w:val="0"/>
              <w:kinsoku/>
              <w:wordWrap/>
              <w:overflowPunct/>
              <w:topLinePunct w:val="0"/>
              <w:autoSpaceDE/>
              <w:autoSpaceDN/>
              <w:bidi w:val="0"/>
              <w:adjustRightInd/>
              <w:snapToGrid/>
              <w:spacing w:before="0" w:after="0" w:line="240" w:lineRule="exact"/>
              <w:ind w:left="84" w:leftChars="40" w:right="84" w:rightChars="40"/>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汇率变动对现金的影响额</w:t>
            </w:r>
          </w:p>
        </w:tc>
        <w:tc>
          <w:tcPr>
            <w:tcW w:w="796" w:type="pct"/>
            <w:tcBorders>
              <w:top w:val="nil"/>
              <w:left w:val="nil"/>
              <w:bottom w:val="single" w:color="auto" w:sz="8" w:space="0"/>
              <w:right w:val="single" w:color="auto" w:sz="8" w:space="0"/>
            </w:tcBorders>
            <w:shd w:val="clear" w:color="auto" w:fill="auto"/>
            <w:tcMar>
              <w:top w:w="15" w:type="dxa"/>
              <w:left w:w="15" w:type="dxa"/>
              <w:right w:w="15" w:type="dxa"/>
            </w:tcMar>
            <w:vAlign w:val="center"/>
          </w:tcPr>
          <w:p w14:paraId="7C07B64B">
            <w:pPr>
              <w:keepNext w:val="0"/>
              <w:keepLines w:val="0"/>
              <w:pageBreakBefore w:val="0"/>
              <w:widowControl w:val="0"/>
              <w:kinsoku/>
              <w:wordWrap/>
              <w:overflowPunct/>
              <w:topLinePunct w:val="0"/>
              <w:autoSpaceDE/>
              <w:autoSpaceDN/>
              <w:bidi w:val="0"/>
              <w:adjustRightInd/>
              <w:snapToGrid/>
              <w:spacing w:before="0" w:after="0" w:line="240" w:lineRule="exact"/>
              <w:ind w:left="84" w:leftChars="40" w:right="84" w:rightChars="40"/>
              <w:jc w:val="righ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-54,369.71</w:t>
            </w:r>
          </w:p>
        </w:tc>
        <w:tc>
          <w:tcPr>
            <w:tcW w:w="733" w:type="pct"/>
            <w:tcBorders>
              <w:top w:val="nil"/>
              <w:left w:val="nil"/>
              <w:bottom w:val="single" w:color="auto" w:sz="8" w:space="0"/>
              <w:right w:val="single" w:color="auto" w:sz="8" w:space="0"/>
            </w:tcBorders>
            <w:shd w:val="clear" w:color="auto" w:fill="auto"/>
            <w:tcMar>
              <w:top w:w="15" w:type="dxa"/>
              <w:left w:w="15" w:type="dxa"/>
              <w:right w:w="15" w:type="dxa"/>
            </w:tcMar>
            <w:vAlign w:val="center"/>
          </w:tcPr>
          <w:p w14:paraId="103B576B">
            <w:pPr>
              <w:keepNext w:val="0"/>
              <w:keepLines w:val="0"/>
              <w:pageBreakBefore w:val="0"/>
              <w:widowControl w:val="0"/>
              <w:kinsoku/>
              <w:wordWrap/>
              <w:overflowPunct/>
              <w:topLinePunct w:val="0"/>
              <w:autoSpaceDE/>
              <w:autoSpaceDN/>
              <w:bidi w:val="0"/>
              <w:adjustRightInd/>
              <w:snapToGrid/>
              <w:spacing w:before="0" w:after="0" w:line="240" w:lineRule="exact"/>
              <w:ind w:left="84" w:leftChars="40" w:right="84" w:rightChars="40"/>
              <w:jc w:val="righ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44,173.65</w:t>
            </w:r>
          </w:p>
        </w:tc>
        <w:tc>
          <w:tcPr>
            <w:tcW w:w="613" w:type="pct"/>
            <w:tcBorders>
              <w:top w:val="nil"/>
              <w:left w:val="nil"/>
              <w:bottom w:val="single" w:color="auto" w:sz="8" w:space="0"/>
              <w:right w:val="single" w:color="auto" w:sz="8" w:space="0"/>
            </w:tcBorders>
            <w:shd w:val="clear" w:color="auto" w:fill="auto"/>
            <w:tcMar>
              <w:top w:w="15" w:type="dxa"/>
              <w:left w:w="15" w:type="dxa"/>
              <w:right w:w="15" w:type="dxa"/>
            </w:tcMar>
            <w:vAlign w:val="center"/>
          </w:tcPr>
          <w:p w14:paraId="27AC904B">
            <w:pPr>
              <w:keepNext w:val="0"/>
              <w:keepLines w:val="0"/>
              <w:pageBreakBefore w:val="0"/>
              <w:widowControl w:val="0"/>
              <w:kinsoku/>
              <w:wordWrap/>
              <w:overflowPunct/>
              <w:topLinePunct w:val="0"/>
              <w:autoSpaceDE/>
              <w:autoSpaceDN/>
              <w:bidi w:val="0"/>
              <w:adjustRightInd/>
              <w:snapToGrid/>
              <w:spacing w:before="0" w:after="0" w:line="240" w:lineRule="exact"/>
              <w:ind w:left="84" w:leftChars="40" w:right="84" w:rightChars="40"/>
              <w:jc w:val="righ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-223.08%</w:t>
            </w:r>
          </w:p>
        </w:tc>
        <w:tc>
          <w:tcPr>
            <w:tcW w:w="1773" w:type="pct"/>
            <w:tcBorders>
              <w:top w:val="nil"/>
              <w:left w:val="nil"/>
              <w:bottom w:val="single" w:color="auto" w:sz="8" w:space="0"/>
              <w:right w:val="single" w:color="auto" w:sz="8" w:space="0"/>
            </w:tcBorders>
            <w:shd w:val="clear" w:color="auto" w:fill="auto"/>
            <w:tcMar>
              <w:top w:w="15" w:type="dxa"/>
              <w:left w:w="15" w:type="dxa"/>
              <w:right w:w="15" w:type="dxa"/>
            </w:tcMar>
            <w:vAlign w:val="center"/>
          </w:tcPr>
          <w:p w14:paraId="5989930A">
            <w:pPr>
              <w:keepNext w:val="0"/>
              <w:keepLines w:val="0"/>
              <w:pageBreakBefore w:val="0"/>
              <w:widowControl w:val="0"/>
              <w:kinsoku/>
              <w:wordWrap/>
              <w:overflowPunct/>
              <w:topLinePunct w:val="0"/>
              <w:autoSpaceDE/>
              <w:autoSpaceDN/>
              <w:bidi w:val="0"/>
              <w:adjustRightInd/>
              <w:snapToGrid/>
              <w:spacing w:before="0" w:after="0" w:line="240" w:lineRule="exact"/>
              <w:ind w:left="84" w:leftChars="40" w:right="84" w:rightChars="40"/>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主要系本报告期内货币汇率较去年同期下降所致</w:t>
            </w:r>
          </w:p>
        </w:tc>
      </w:tr>
    </w:tbl>
    <w:p w14:paraId="55EE8938">
      <w:pPr>
        <w:keepNext/>
        <w:keepLines/>
        <w:spacing w:before="300" w:after="300" w:line="320" w:lineRule="exact"/>
        <w:jc w:val="left"/>
        <w:outlineLvl w:val="0"/>
        <w:rPr>
          <w:rFonts w:ascii="宋体" w:hAnsi="宋体" w:eastAsia="宋体" w:cs="宋体"/>
          <w:b/>
          <w:bCs/>
          <w:sz w:val="24"/>
          <w:szCs w:val="24"/>
        </w:rPr>
      </w:pPr>
      <w:bookmarkStart w:id="4" w:name="_Toc988893"/>
      <w:r>
        <w:rPr>
          <w:rFonts w:ascii="宋体" w:hAnsi="宋体" w:eastAsia="宋体" w:cs="宋体"/>
          <w:b/>
          <w:bCs/>
          <w:sz w:val="24"/>
          <w:szCs w:val="24"/>
        </w:rPr>
        <w:t>二、股东信息</w:t>
      </w:r>
      <w:bookmarkEnd w:id="4"/>
    </w:p>
    <w:p w14:paraId="4ADDBD02">
      <w:pPr>
        <w:keepNext/>
        <w:keepLines/>
        <w:spacing w:before="300" w:after="300" w:line="280" w:lineRule="exact"/>
        <w:jc w:val="left"/>
        <w:outlineLvl w:val="1"/>
        <w:rPr>
          <w:rFonts w:ascii="宋体" w:hAnsi="宋体" w:eastAsia="宋体" w:cs="宋体"/>
          <w:b/>
          <w:bCs/>
          <w:sz w:val="21"/>
          <w:szCs w:val="21"/>
        </w:rPr>
      </w:pPr>
      <w:bookmarkStart w:id="5" w:name="_Toc988894"/>
      <w:r>
        <w:rPr>
          <w:rFonts w:ascii="宋体" w:hAnsi="宋体" w:eastAsia="宋体" w:cs="宋体"/>
          <w:b/>
          <w:bCs/>
          <w:sz w:val="21"/>
          <w:szCs w:val="21"/>
        </w:rPr>
        <w:t>（一）普通股股东总数和表决权恢复的优先股股东数量及前十名股东持股情况表</w:t>
      </w:r>
      <w:bookmarkEnd w:id="5"/>
    </w:p>
    <w:p w14:paraId="14FE0E7B">
      <w:pPr>
        <w:spacing w:before="40" w:after="40" w:line="240" w:lineRule="exact"/>
        <w:jc w:val="right"/>
        <w:rPr>
          <w:rFonts w:ascii="宋体" w:hAnsi="宋体" w:eastAsia="宋体" w:cs="宋体"/>
          <w:sz w:val="18"/>
          <w:szCs w:val="18"/>
        </w:rPr>
      </w:pPr>
      <w:r>
        <w:rPr>
          <w:rFonts w:ascii="宋体" w:hAnsi="宋体" w:eastAsia="宋体" w:cs="宋体"/>
          <w:sz w:val="18"/>
          <w:szCs w:val="18"/>
        </w:rPr>
        <w:t>单位：股</w:t>
      </w:r>
    </w:p>
    <w:tbl>
      <w:tblPr>
        <w:tblStyle w:val="3"/>
        <w:tblW w:w="9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4"/>
        <w:gridCol w:w="320"/>
        <w:gridCol w:w="1180"/>
        <w:gridCol w:w="13"/>
        <w:gridCol w:w="968"/>
        <w:gridCol w:w="1419"/>
        <w:gridCol w:w="551"/>
        <w:gridCol w:w="822"/>
        <w:gridCol w:w="555"/>
        <w:gridCol w:w="426"/>
        <w:gridCol w:w="1096"/>
      </w:tblGrid>
      <w:tr w14:paraId="1F380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754" w:type="dxa"/>
            <w:gridSpan w:val="2"/>
            <w:shd w:val="clear" w:color="auto" w:fill="D3D3D3"/>
            <w:vAlign w:val="center"/>
          </w:tcPr>
          <w:p w14:paraId="3F6F9BD3">
            <w:pPr>
              <w:spacing w:before="0" w:after="0" w:line="240" w:lineRule="exact"/>
              <w:jc w:val="left"/>
              <w:rPr>
                <w:rFonts w:ascii="宋体" w:hAnsi="宋体" w:eastAsia="宋体" w:cs="宋体"/>
                <w:sz w:val="18"/>
                <w:szCs w:val="18"/>
              </w:rPr>
            </w:pPr>
            <w:r>
              <w:rPr>
                <w:rFonts w:ascii="宋体" w:hAnsi="宋体" w:eastAsia="宋体" w:cs="宋体"/>
                <w:sz w:val="18"/>
                <w:szCs w:val="18"/>
              </w:rPr>
              <w:t>报告期末普通股股东总数</w:t>
            </w:r>
          </w:p>
        </w:tc>
        <w:tc>
          <w:tcPr>
            <w:tcW w:w="1193" w:type="dxa"/>
            <w:gridSpan w:val="2"/>
            <w:vAlign w:val="center"/>
          </w:tcPr>
          <w:p w14:paraId="0CEE5D28">
            <w:pPr>
              <w:spacing w:before="0" w:after="0" w:line="240" w:lineRule="exact"/>
              <w:jc w:val="right"/>
              <w:rPr>
                <w:rFonts w:ascii="宋体" w:hAnsi="宋体" w:eastAsia="宋体" w:cs="宋体"/>
                <w:sz w:val="18"/>
                <w:szCs w:val="18"/>
              </w:rPr>
            </w:pPr>
            <w:r>
              <w:rPr>
                <w:rFonts w:ascii="宋体" w:hAnsi="宋体" w:eastAsia="宋体" w:cs="宋体"/>
                <w:sz w:val="18"/>
                <w:szCs w:val="18"/>
              </w:rPr>
              <w:t>18,025</w:t>
            </w:r>
          </w:p>
        </w:tc>
        <w:tc>
          <w:tcPr>
            <w:tcW w:w="4315" w:type="dxa"/>
            <w:gridSpan w:val="5"/>
            <w:shd w:val="clear" w:color="auto" w:fill="D3D3D3"/>
            <w:vAlign w:val="center"/>
          </w:tcPr>
          <w:p w14:paraId="14BDE6E0">
            <w:pPr>
              <w:spacing w:before="0" w:after="0" w:line="240" w:lineRule="exact"/>
              <w:jc w:val="left"/>
              <w:rPr>
                <w:rFonts w:ascii="宋体" w:hAnsi="宋体" w:eastAsia="宋体" w:cs="宋体"/>
                <w:sz w:val="18"/>
                <w:szCs w:val="18"/>
              </w:rPr>
            </w:pPr>
            <w:r>
              <w:rPr>
                <w:rFonts w:ascii="宋体" w:hAnsi="宋体" w:eastAsia="宋体" w:cs="宋体"/>
                <w:sz w:val="18"/>
                <w:szCs w:val="18"/>
              </w:rPr>
              <w:t>报告期末表决权恢复的优先股股东总数（如有）</w:t>
            </w:r>
          </w:p>
        </w:tc>
        <w:tc>
          <w:tcPr>
            <w:tcW w:w="1522" w:type="dxa"/>
            <w:gridSpan w:val="2"/>
            <w:vAlign w:val="center"/>
          </w:tcPr>
          <w:p w14:paraId="2CA6B636">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14:paraId="4969A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784" w:type="dxa"/>
            <w:gridSpan w:val="11"/>
            <w:shd w:val="clear" w:color="auto" w:fill="D3D3D3"/>
            <w:vAlign w:val="center"/>
          </w:tcPr>
          <w:p w14:paraId="165A4F3E">
            <w:pPr>
              <w:spacing w:before="0" w:after="0" w:line="240" w:lineRule="exact"/>
              <w:jc w:val="center"/>
              <w:rPr>
                <w:rFonts w:ascii="宋体" w:hAnsi="宋体" w:eastAsia="宋体" w:cs="宋体"/>
                <w:sz w:val="18"/>
                <w:szCs w:val="18"/>
              </w:rPr>
            </w:pPr>
            <w:r>
              <w:rPr>
                <w:rFonts w:ascii="宋体" w:hAnsi="宋体" w:eastAsia="宋体" w:cs="宋体"/>
                <w:sz w:val="18"/>
                <w:szCs w:val="18"/>
              </w:rPr>
              <w:t>前10名股东持股情况（不含通过转融通出借股份）</w:t>
            </w:r>
          </w:p>
        </w:tc>
      </w:tr>
      <w:tr w14:paraId="6BBC9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34" w:type="dxa"/>
            <w:vMerge w:val="restart"/>
            <w:shd w:val="clear" w:color="auto" w:fill="D3D3D3"/>
            <w:vAlign w:val="center"/>
          </w:tcPr>
          <w:p w14:paraId="00E62B40">
            <w:pPr>
              <w:spacing w:before="0" w:after="0" w:line="240" w:lineRule="exact"/>
              <w:jc w:val="center"/>
              <w:rPr>
                <w:rFonts w:ascii="宋体" w:hAnsi="宋体" w:eastAsia="宋体" w:cs="宋体"/>
                <w:sz w:val="18"/>
                <w:szCs w:val="18"/>
              </w:rPr>
            </w:pPr>
            <w:r>
              <w:rPr>
                <w:rFonts w:ascii="宋体" w:hAnsi="宋体" w:eastAsia="宋体" w:cs="宋体"/>
                <w:sz w:val="18"/>
                <w:szCs w:val="18"/>
              </w:rPr>
              <w:t>股东名称</w:t>
            </w:r>
          </w:p>
        </w:tc>
        <w:tc>
          <w:tcPr>
            <w:tcW w:w="1500" w:type="dxa"/>
            <w:gridSpan w:val="2"/>
            <w:vMerge w:val="restart"/>
            <w:shd w:val="clear" w:color="auto" w:fill="D3D3D3"/>
            <w:vAlign w:val="center"/>
          </w:tcPr>
          <w:p w14:paraId="4CB711C1">
            <w:pPr>
              <w:spacing w:before="0" w:after="0" w:line="240" w:lineRule="exact"/>
              <w:jc w:val="center"/>
              <w:rPr>
                <w:rFonts w:ascii="宋体" w:hAnsi="宋体" w:eastAsia="宋体" w:cs="宋体"/>
                <w:sz w:val="18"/>
                <w:szCs w:val="18"/>
              </w:rPr>
            </w:pPr>
            <w:r>
              <w:rPr>
                <w:rFonts w:ascii="宋体" w:hAnsi="宋体" w:eastAsia="宋体" w:cs="宋体"/>
                <w:sz w:val="18"/>
                <w:szCs w:val="18"/>
              </w:rPr>
              <w:t>股东性质</w:t>
            </w:r>
          </w:p>
        </w:tc>
        <w:tc>
          <w:tcPr>
            <w:tcW w:w="981" w:type="dxa"/>
            <w:gridSpan w:val="2"/>
            <w:vMerge w:val="restart"/>
            <w:shd w:val="clear" w:color="auto" w:fill="D3D3D3"/>
            <w:vAlign w:val="center"/>
          </w:tcPr>
          <w:p w14:paraId="08DE65F3">
            <w:pPr>
              <w:spacing w:before="0" w:after="0" w:line="240" w:lineRule="exact"/>
              <w:jc w:val="center"/>
              <w:rPr>
                <w:rFonts w:ascii="宋体" w:hAnsi="宋体" w:eastAsia="宋体" w:cs="宋体"/>
                <w:sz w:val="18"/>
                <w:szCs w:val="18"/>
              </w:rPr>
            </w:pPr>
            <w:r>
              <w:rPr>
                <w:rFonts w:ascii="宋体" w:hAnsi="宋体" w:eastAsia="宋体" w:cs="宋体"/>
                <w:sz w:val="18"/>
                <w:szCs w:val="18"/>
              </w:rPr>
              <w:t>持股比例（%）</w:t>
            </w:r>
          </w:p>
        </w:tc>
        <w:tc>
          <w:tcPr>
            <w:tcW w:w="1419" w:type="dxa"/>
            <w:vMerge w:val="restart"/>
            <w:shd w:val="clear" w:color="auto" w:fill="D3D3D3"/>
            <w:vAlign w:val="center"/>
          </w:tcPr>
          <w:p w14:paraId="168D4CF3">
            <w:pPr>
              <w:spacing w:before="0" w:after="0" w:line="240" w:lineRule="exact"/>
              <w:jc w:val="center"/>
              <w:rPr>
                <w:rFonts w:ascii="宋体" w:hAnsi="宋体" w:eastAsia="宋体" w:cs="宋体"/>
                <w:sz w:val="18"/>
                <w:szCs w:val="18"/>
              </w:rPr>
            </w:pPr>
            <w:r>
              <w:rPr>
                <w:rFonts w:ascii="宋体" w:hAnsi="宋体" w:eastAsia="宋体" w:cs="宋体"/>
                <w:sz w:val="18"/>
                <w:szCs w:val="18"/>
              </w:rPr>
              <w:t>持股数量</w:t>
            </w:r>
          </w:p>
        </w:tc>
        <w:tc>
          <w:tcPr>
            <w:tcW w:w="1373" w:type="dxa"/>
            <w:gridSpan w:val="2"/>
            <w:vMerge w:val="restart"/>
            <w:shd w:val="clear" w:color="auto" w:fill="D3D3D3"/>
            <w:vAlign w:val="center"/>
          </w:tcPr>
          <w:p w14:paraId="1F6E48CA">
            <w:pPr>
              <w:spacing w:before="0" w:after="0" w:line="240" w:lineRule="exact"/>
              <w:jc w:val="center"/>
              <w:rPr>
                <w:rFonts w:ascii="宋体" w:hAnsi="宋体" w:eastAsia="宋体" w:cs="宋体"/>
                <w:sz w:val="18"/>
                <w:szCs w:val="18"/>
              </w:rPr>
            </w:pPr>
            <w:r>
              <w:rPr>
                <w:rFonts w:ascii="宋体" w:hAnsi="宋体" w:eastAsia="宋体" w:cs="宋体"/>
                <w:sz w:val="18"/>
                <w:szCs w:val="18"/>
              </w:rPr>
              <w:t>持有有限售条件的股份数量</w:t>
            </w:r>
          </w:p>
        </w:tc>
        <w:tc>
          <w:tcPr>
            <w:tcW w:w="2077" w:type="dxa"/>
            <w:gridSpan w:val="3"/>
            <w:shd w:val="clear" w:color="auto" w:fill="D3D3D3"/>
            <w:vAlign w:val="center"/>
          </w:tcPr>
          <w:p w14:paraId="654F3AFA">
            <w:pPr>
              <w:spacing w:before="0" w:after="0" w:line="240" w:lineRule="exact"/>
              <w:jc w:val="center"/>
              <w:rPr>
                <w:rFonts w:ascii="宋体" w:hAnsi="宋体" w:eastAsia="宋体" w:cs="宋体"/>
                <w:sz w:val="18"/>
                <w:szCs w:val="18"/>
              </w:rPr>
            </w:pPr>
            <w:r>
              <w:rPr>
                <w:rFonts w:ascii="宋体" w:hAnsi="宋体" w:eastAsia="宋体" w:cs="宋体"/>
                <w:sz w:val="18"/>
                <w:szCs w:val="18"/>
              </w:rPr>
              <w:t>质押、标记或冻结情况</w:t>
            </w:r>
          </w:p>
        </w:tc>
      </w:tr>
      <w:tr w14:paraId="4D146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34" w:type="dxa"/>
            <w:vMerge w:val="continue"/>
            <w:shd w:val="clear" w:color="auto" w:fill="D3D3D3"/>
            <w:vAlign w:val="center"/>
          </w:tcPr>
          <w:p w14:paraId="7B49D0F5"/>
        </w:tc>
        <w:tc>
          <w:tcPr>
            <w:tcW w:w="1500" w:type="dxa"/>
            <w:gridSpan w:val="2"/>
            <w:vMerge w:val="continue"/>
            <w:shd w:val="clear" w:color="auto" w:fill="D3D3D3"/>
            <w:vAlign w:val="center"/>
          </w:tcPr>
          <w:p w14:paraId="60B81918"/>
        </w:tc>
        <w:tc>
          <w:tcPr>
            <w:tcW w:w="981" w:type="dxa"/>
            <w:gridSpan w:val="2"/>
            <w:vMerge w:val="continue"/>
            <w:shd w:val="clear" w:color="auto" w:fill="D3D3D3"/>
            <w:vAlign w:val="center"/>
          </w:tcPr>
          <w:p w14:paraId="7544DD85"/>
        </w:tc>
        <w:tc>
          <w:tcPr>
            <w:tcW w:w="1419" w:type="dxa"/>
            <w:vMerge w:val="continue"/>
            <w:shd w:val="clear" w:color="auto" w:fill="D3D3D3"/>
            <w:vAlign w:val="center"/>
          </w:tcPr>
          <w:p w14:paraId="0D219329"/>
        </w:tc>
        <w:tc>
          <w:tcPr>
            <w:tcW w:w="1373" w:type="dxa"/>
            <w:gridSpan w:val="2"/>
            <w:vMerge w:val="continue"/>
            <w:shd w:val="clear" w:color="auto" w:fill="D3D3D3"/>
            <w:vAlign w:val="center"/>
          </w:tcPr>
          <w:p w14:paraId="45531ED5"/>
        </w:tc>
        <w:tc>
          <w:tcPr>
            <w:tcW w:w="981" w:type="dxa"/>
            <w:gridSpan w:val="2"/>
            <w:shd w:val="clear" w:color="auto" w:fill="D3D3D3"/>
            <w:vAlign w:val="center"/>
          </w:tcPr>
          <w:p w14:paraId="767F003F">
            <w:pPr>
              <w:spacing w:before="0" w:after="0" w:line="240" w:lineRule="exact"/>
              <w:jc w:val="center"/>
              <w:rPr>
                <w:rFonts w:ascii="宋体" w:hAnsi="宋体" w:eastAsia="宋体" w:cs="宋体"/>
                <w:sz w:val="18"/>
                <w:szCs w:val="18"/>
              </w:rPr>
            </w:pPr>
            <w:r>
              <w:rPr>
                <w:rFonts w:ascii="宋体" w:hAnsi="宋体" w:eastAsia="宋体" w:cs="宋体"/>
                <w:sz w:val="18"/>
                <w:szCs w:val="18"/>
              </w:rPr>
              <w:t>股份状态</w:t>
            </w:r>
          </w:p>
        </w:tc>
        <w:tc>
          <w:tcPr>
            <w:tcW w:w="1096" w:type="dxa"/>
            <w:shd w:val="clear" w:color="auto" w:fill="D3D3D3"/>
            <w:vAlign w:val="center"/>
          </w:tcPr>
          <w:p w14:paraId="0C013DCE">
            <w:pPr>
              <w:spacing w:before="0" w:after="0" w:line="240" w:lineRule="exact"/>
              <w:jc w:val="center"/>
              <w:rPr>
                <w:rFonts w:ascii="宋体" w:hAnsi="宋体" w:eastAsia="宋体" w:cs="宋体"/>
                <w:sz w:val="18"/>
                <w:szCs w:val="18"/>
              </w:rPr>
            </w:pPr>
            <w:r>
              <w:rPr>
                <w:rFonts w:ascii="宋体" w:hAnsi="宋体" w:eastAsia="宋体" w:cs="宋体"/>
                <w:sz w:val="18"/>
                <w:szCs w:val="18"/>
              </w:rPr>
              <w:t>数量</w:t>
            </w:r>
          </w:p>
        </w:tc>
      </w:tr>
      <w:tr w14:paraId="74200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34" w:type="dxa"/>
            <w:vAlign w:val="center"/>
          </w:tcPr>
          <w:p w14:paraId="2CE95715">
            <w:pPr>
              <w:spacing w:before="0" w:after="0" w:line="240" w:lineRule="exact"/>
              <w:jc w:val="left"/>
              <w:rPr>
                <w:rFonts w:ascii="宋体" w:hAnsi="宋体" w:eastAsia="宋体" w:cs="宋体"/>
                <w:sz w:val="18"/>
                <w:szCs w:val="18"/>
              </w:rPr>
            </w:pPr>
            <w:r>
              <w:rPr>
                <w:rFonts w:ascii="宋体" w:hAnsi="宋体" w:eastAsia="宋体" w:cs="宋体"/>
                <w:sz w:val="18"/>
                <w:szCs w:val="18"/>
              </w:rPr>
              <w:t>青岛华通国有资本投资运营集团有限公司</w:t>
            </w:r>
          </w:p>
        </w:tc>
        <w:tc>
          <w:tcPr>
            <w:tcW w:w="1500" w:type="dxa"/>
            <w:gridSpan w:val="2"/>
            <w:vAlign w:val="center"/>
          </w:tcPr>
          <w:p w14:paraId="5D9DE943">
            <w:pPr>
              <w:spacing w:before="0" w:after="0" w:line="240" w:lineRule="exact"/>
              <w:jc w:val="left"/>
              <w:rPr>
                <w:rFonts w:ascii="宋体" w:hAnsi="宋体" w:eastAsia="宋体" w:cs="宋体"/>
                <w:sz w:val="18"/>
                <w:szCs w:val="18"/>
              </w:rPr>
            </w:pPr>
            <w:r>
              <w:rPr>
                <w:rFonts w:ascii="宋体" w:hAnsi="宋体" w:eastAsia="宋体" w:cs="宋体"/>
                <w:sz w:val="18"/>
                <w:szCs w:val="18"/>
              </w:rPr>
              <w:t>国有法人</w:t>
            </w:r>
          </w:p>
        </w:tc>
        <w:tc>
          <w:tcPr>
            <w:tcW w:w="981" w:type="dxa"/>
            <w:gridSpan w:val="2"/>
            <w:vAlign w:val="center"/>
          </w:tcPr>
          <w:p w14:paraId="62054220">
            <w:pPr>
              <w:spacing w:before="0" w:after="0" w:line="240" w:lineRule="exact"/>
              <w:jc w:val="right"/>
              <w:rPr>
                <w:rFonts w:ascii="宋体" w:hAnsi="宋体" w:eastAsia="宋体" w:cs="宋体"/>
                <w:sz w:val="18"/>
                <w:szCs w:val="18"/>
              </w:rPr>
            </w:pPr>
            <w:r>
              <w:rPr>
                <w:rFonts w:ascii="宋体" w:hAnsi="宋体" w:eastAsia="宋体" w:cs="宋体"/>
                <w:sz w:val="18"/>
                <w:szCs w:val="18"/>
              </w:rPr>
              <w:t>46.74%</w:t>
            </w:r>
          </w:p>
        </w:tc>
        <w:tc>
          <w:tcPr>
            <w:tcW w:w="1419" w:type="dxa"/>
            <w:vAlign w:val="center"/>
          </w:tcPr>
          <w:p w14:paraId="59678F68">
            <w:pPr>
              <w:spacing w:before="0" w:after="0" w:line="240" w:lineRule="exact"/>
              <w:jc w:val="right"/>
              <w:rPr>
                <w:rFonts w:ascii="宋体" w:hAnsi="宋体" w:eastAsia="宋体" w:cs="宋体"/>
                <w:sz w:val="18"/>
                <w:szCs w:val="18"/>
              </w:rPr>
            </w:pPr>
            <w:r>
              <w:rPr>
                <w:rFonts w:ascii="宋体" w:hAnsi="宋体" w:eastAsia="宋体" w:cs="宋体"/>
                <w:sz w:val="18"/>
                <w:szCs w:val="18"/>
              </w:rPr>
              <w:t>91,134,905.00</w:t>
            </w:r>
          </w:p>
        </w:tc>
        <w:tc>
          <w:tcPr>
            <w:tcW w:w="1373" w:type="dxa"/>
            <w:gridSpan w:val="2"/>
            <w:vAlign w:val="center"/>
          </w:tcPr>
          <w:p w14:paraId="5FF64FB1">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981" w:type="dxa"/>
            <w:gridSpan w:val="2"/>
            <w:vAlign w:val="center"/>
          </w:tcPr>
          <w:p w14:paraId="27599B09">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1096" w:type="dxa"/>
            <w:vAlign w:val="center"/>
          </w:tcPr>
          <w:p w14:paraId="217C41AB">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r>
      <w:tr w14:paraId="719BB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34" w:type="dxa"/>
            <w:vAlign w:val="center"/>
          </w:tcPr>
          <w:p w14:paraId="154FE242">
            <w:pPr>
              <w:spacing w:before="0" w:after="0" w:line="240" w:lineRule="exact"/>
              <w:jc w:val="left"/>
              <w:rPr>
                <w:rFonts w:ascii="宋体" w:hAnsi="宋体" w:eastAsia="宋体" w:cs="宋体"/>
                <w:sz w:val="18"/>
                <w:szCs w:val="18"/>
              </w:rPr>
            </w:pPr>
            <w:r>
              <w:rPr>
                <w:rFonts w:ascii="宋体" w:hAnsi="宋体" w:eastAsia="宋体" w:cs="宋体"/>
                <w:sz w:val="18"/>
                <w:szCs w:val="18"/>
              </w:rPr>
              <w:t>青岛食品股份有限公司未确权股份托管专用证券账户</w:t>
            </w:r>
          </w:p>
        </w:tc>
        <w:tc>
          <w:tcPr>
            <w:tcW w:w="1500" w:type="dxa"/>
            <w:gridSpan w:val="2"/>
            <w:vAlign w:val="center"/>
          </w:tcPr>
          <w:p w14:paraId="17D89DEB">
            <w:pPr>
              <w:spacing w:before="0" w:after="0" w:line="240" w:lineRule="exact"/>
              <w:jc w:val="left"/>
              <w:rPr>
                <w:rFonts w:ascii="宋体" w:hAnsi="宋体" w:eastAsia="宋体" w:cs="宋体"/>
                <w:sz w:val="18"/>
                <w:szCs w:val="18"/>
              </w:rPr>
            </w:pPr>
            <w:r>
              <w:rPr>
                <w:rFonts w:ascii="宋体" w:hAnsi="宋体" w:eastAsia="宋体" w:cs="宋体"/>
                <w:sz w:val="18"/>
                <w:szCs w:val="18"/>
              </w:rPr>
              <w:t>境内非国有法人</w:t>
            </w:r>
          </w:p>
        </w:tc>
        <w:tc>
          <w:tcPr>
            <w:tcW w:w="981" w:type="dxa"/>
            <w:gridSpan w:val="2"/>
            <w:vAlign w:val="center"/>
          </w:tcPr>
          <w:p w14:paraId="7C71B5F2">
            <w:pPr>
              <w:spacing w:before="0" w:after="0" w:line="240" w:lineRule="exact"/>
              <w:jc w:val="right"/>
              <w:rPr>
                <w:rFonts w:ascii="宋体" w:hAnsi="宋体" w:eastAsia="宋体" w:cs="宋体"/>
                <w:sz w:val="18"/>
                <w:szCs w:val="18"/>
              </w:rPr>
            </w:pPr>
            <w:r>
              <w:rPr>
                <w:rFonts w:ascii="宋体" w:hAnsi="宋体" w:eastAsia="宋体" w:cs="宋体"/>
                <w:sz w:val="18"/>
                <w:szCs w:val="18"/>
              </w:rPr>
              <w:t>2.57%</w:t>
            </w:r>
          </w:p>
        </w:tc>
        <w:tc>
          <w:tcPr>
            <w:tcW w:w="1419" w:type="dxa"/>
            <w:vAlign w:val="center"/>
          </w:tcPr>
          <w:p w14:paraId="32AA20DE">
            <w:pPr>
              <w:spacing w:before="0" w:after="0" w:line="240" w:lineRule="exact"/>
              <w:jc w:val="right"/>
              <w:rPr>
                <w:rFonts w:ascii="宋体" w:hAnsi="宋体" w:eastAsia="宋体" w:cs="宋体"/>
                <w:sz w:val="18"/>
                <w:szCs w:val="18"/>
              </w:rPr>
            </w:pPr>
            <w:r>
              <w:rPr>
                <w:rFonts w:ascii="宋体" w:hAnsi="宋体" w:eastAsia="宋体" w:cs="宋体"/>
                <w:sz w:val="18"/>
                <w:szCs w:val="18"/>
              </w:rPr>
              <w:t>5,012,879.00</w:t>
            </w:r>
          </w:p>
        </w:tc>
        <w:tc>
          <w:tcPr>
            <w:tcW w:w="1373" w:type="dxa"/>
            <w:gridSpan w:val="2"/>
            <w:vAlign w:val="center"/>
          </w:tcPr>
          <w:p w14:paraId="4EF06831">
            <w:pPr>
              <w:spacing w:before="0" w:after="0" w:line="240" w:lineRule="exact"/>
              <w:jc w:val="right"/>
              <w:rPr>
                <w:rFonts w:ascii="宋体" w:hAnsi="宋体" w:eastAsia="宋体" w:cs="宋体"/>
                <w:sz w:val="18"/>
                <w:szCs w:val="18"/>
              </w:rPr>
            </w:pPr>
            <w:r>
              <w:rPr>
                <w:rFonts w:ascii="宋体" w:hAnsi="宋体" w:eastAsia="宋体" w:cs="宋体"/>
                <w:sz w:val="18"/>
                <w:szCs w:val="18"/>
              </w:rPr>
              <w:t>5,012,879.00</w:t>
            </w:r>
          </w:p>
        </w:tc>
        <w:tc>
          <w:tcPr>
            <w:tcW w:w="981" w:type="dxa"/>
            <w:gridSpan w:val="2"/>
            <w:vAlign w:val="center"/>
          </w:tcPr>
          <w:p w14:paraId="2EBE78D4">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1096" w:type="dxa"/>
            <w:vAlign w:val="center"/>
          </w:tcPr>
          <w:p w14:paraId="68E2F1BB">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r>
      <w:tr w14:paraId="0DCA9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34" w:type="dxa"/>
            <w:vAlign w:val="center"/>
          </w:tcPr>
          <w:p w14:paraId="6B9EA1AC">
            <w:pPr>
              <w:spacing w:before="0" w:after="0" w:line="240" w:lineRule="exact"/>
              <w:jc w:val="left"/>
              <w:rPr>
                <w:rFonts w:ascii="宋体" w:hAnsi="宋体" w:eastAsia="宋体" w:cs="宋体"/>
                <w:sz w:val="18"/>
                <w:szCs w:val="18"/>
              </w:rPr>
            </w:pPr>
            <w:r>
              <w:rPr>
                <w:rFonts w:ascii="宋体" w:hAnsi="宋体" w:eastAsia="宋体" w:cs="宋体"/>
                <w:sz w:val="18"/>
                <w:szCs w:val="18"/>
              </w:rPr>
              <w:t>深圳市核子基因科技有限公司</w:t>
            </w:r>
          </w:p>
        </w:tc>
        <w:tc>
          <w:tcPr>
            <w:tcW w:w="1500" w:type="dxa"/>
            <w:gridSpan w:val="2"/>
            <w:vAlign w:val="center"/>
          </w:tcPr>
          <w:p w14:paraId="1856AB04">
            <w:pPr>
              <w:spacing w:before="0" w:after="0" w:line="240" w:lineRule="exact"/>
              <w:jc w:val="left"/>
              <w:rPr>
                <w:rFonts w:ascii="宋体" w:hAnsi="宋体" w:eastAsia="宋体" w:cs="宋体"/>
                <w:sz w:val="18"/>
                <w:szCs w:val="18"/>
              </w:rPr>
            </w:pPr>
            <w:r>
              <w:rPr>
                <w:rFonts w:ascii="宋体" w:hAnsi="宋体" w:eastAsia="宋体" w:cs="宋体"/>
                <w:sz w:val="18"/>
                <w:szCs w:val="18"/>
              </w:rPr>
              <w:t>境内非国有法人</w:t>
            </w:r>
          </w:p>
        </w:tc>
        <w:tc>
          <w:tcPr>
            <w:tcW w:w="981" w:type="dxa"/>
            <w:gridSpan w:val="2"/>
            <w:vAlign w:val="center"/>
          </w:tcPr>
          <w:p w14:paraId="07236912">
            <w:pPr>
              <w:spacing w:before="0" w:after="0" w:line="240" w:lineRule="exact"/>
              <w:jc w:val="right"/>
              <w:rPr>
                <w:rFonts w:ascii="宋体" w:hAnsi="宋体" w:eastAsia="宋体" w:cs="宋体"/>
                <w:sz w:val="18"/>
                <w:szCs w:val="18"/>
              </w:rPr>
            </w:pPr>
            <w:r>
              <w:rPr>
                <w:rFonts w:ascii="宋体" w:hAnsi="宋体" w:eastAsia="宋体" w:cs="宋体"/>
                <w:sz w:val="18"/>
                <w:szCs w:val="18"/>
              </w:rPr>
              <w:t>1.41%</w:t>
            </w:r>
          </w:p>
        </w:tc>
        <w:tc>
          <w:tcPr>
            <w:tcW w:w="1419" w:type="dxa"/>
            <w:vAlign w:val="center"/>
          </w:tcPr>
          <w:p w14:paraId="07E912AD">
            <w:pPr>
              <w:spacing w:before="0" w:after="0" w:line="240" w:lineRule="exact"/>
              <w:jc w:val="right"/>
              <w:rPr>
                <w:rFonts w:ascii="宋体" w:hAnsi="宋体" w:eastAsia="宋体" w:cs="宋体"/>
                <w:sz w:val="18"/>
                <w:szCs w:val="18"/>
              </w:rPr>
            </w:pPr>
            <w:r>
              <w:rPr>
                <w:rFonts w:ascii="宋体" w:hAnsi="宋体" w:eastAsia="宋体" w:cs="宋体"/>
                <w:sz w:val="18"/>
                <w:szCs w:val="18"/>
              </w:rPr>
              <w:t>2,749,856.00</w:t>
            </w:r>
          </w:p>
        </w:tc>
        <w:tc>
          <w:tcPr>
            <w:tcW w:w="1373" w:type="dxa"/>
            <w:gridSpan w:val="2"/>
            <w:vAlign w:val="center"/>
          </w:tcPr>
          <w:p w14:paraId="336D1D5F">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981" w:type="dxa"/>
            <w:gridSpan w:val="2"/>
            <w:vAlign w:val="center"/>
          </w:tcPr>
          <w:p w14:paraId="1F2F084F">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1096" w:type="dxa"/>
            <w:vAlign w:val="center"/>
          </w:tcPr>
          <w:p w14:paraId="00292E0E">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r>
      <w:tr w14:paraId="739F6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34" w:type="dxa"/>
            <w:vAlign w:val="center"/>
          </w:tcPr>
          <w:p w14:paraId="53109D68">
            <w:pPr>
              <w:spacing w:before="0" w:after="0" w:line="240" w:lineRule="exact"/>
              <w:jc w:val="left"/>
              <w:rPr>
                <w:rFonts w:ascii="宋体" w:hAnsi="宋体" w:eastAsia="宋体" w:cs="宋体"/>
                <w:sz w:val="18"/>
                <w:szCs w:val="18"/>
              </w:rPr>
            </w:pPr>
            <w:r>
              <w:rPr>
                <w:rFonts w:ascii="宋体" w:hAnsi="宋体" w:eastAsia="宋体" w:cs="宋体"/>
                <w:sz w:val="18"/>
                <w:szCs w:val="18"/>
              </w:rPr>
              <w:t>王莉</w:t>
            </w:r>
          </w:p>
        </w:tc>
        <w:tc>
          <w:tcPr>
            <w:tcW w:w="1500" w:type="dxa"/>
            <w:gridSpan w:val="2"/>
            <w:vAlign w:val="center"/>
          </w:tcPr>
          <w:p w14:paraId="4DE4885E">
            <w:pPr>
              <w:spacing w:before="0" w:after="0" w:line="240" w:lineRule="exact"/>
              <w:jc w:val="left"/>
              <w:rPr>
                <w:rFonts w:ascii="宋体" w:hAnsi="宋体" w:eastAsia="宋体" w:cs="宋体"/>
                <w:sz w:val="18"/>
                <w:szCs w:val="18"/>
              </w:rPr>
            </w:pPr>
            <w:r>
              <w:rPr>
                <w:rFonts w:ascii="宋体" w:hAnsi="宋体" w:eastAsia="宋体" w:cs="宋体"/>
                <w:sz w:val="18"/>
                <w:szCs w:val="18"/>
              </w:rPr>
              <w:t>境内自然人</w:t>
            </w:r>
          </w:p>
        </w:tc>
        <w:tc>
          <w:tcPr>
            <w:tcW w:w="981" w:type="dxa"/>
            <w:gridSpan w:val="2"/>
            <w:vAlign w:val="center"/>
          </w:tcPr>
          <w:p w14:paraId="6FE20877">
            <w:pPr>
              <w:spacing w:before="0" w:after="0" w:line="240" w:lineRule="exact"/>
              <w:jc w:val="right"/>
              <w:rPr>
                <w:rFonts w:ascii="宋体" w:hAnsi="宋体" w:eastAsia="宋体" w:cs="宋体"/>
                <w:sz w:val="18"/>
                <w:szCs w:val="18"/>
              </w:rPr>
            </w:pPr>
            <w:r>
              <w:rPr>
                <w:rFonts w:ascii="宋体" w:hAnsi="宋体" w:eastAsia="宋体" w:cs="宋体"/>
                <w:sz w:val="18"/>
                <w:szCs w:val="18"/>
              </w:rPr>
              <w:t>0.89%</w:t>
            </w:r>
          </w:p>
        </w:tc>
        <w:tc>
          <w:tcPr>
            <w:tcW w:w="1419" w:type="dxa"/>
            <w:vAlign w:val="center"/>
          </w:tcPr>
          <w:p w14:paraId="5D9D2FA4">
            <w:pPr>
              <w:spacing w:before="0" w:after="0" w:line="240" w:lineRule="exact"/>
              <w:jc w:val="right"/>
              <w:rPr>
                <w:rFonts w:ascii="宋体" w:hAnsi="宋体" w:eastAsia="宋体" w:cs="宋体"/>
                <w:sz w:val="18"/>
                <w:szCs w:val="18"/>
              </w:rPr>
            </w:pPr>
            <w:r>
              <w:rPr>
                <w:rFonts w:ascii="宋体" w:hAnsi="宋体" w:eastAsia="宋体" w:cs="宋体"/>
                <w:sz w:val="18"/>
                <w:szCs w:val="18"/>
              </w:rPr>
              <w:t>1,727,672.00</w:t>
            </w:r>
          </w:p>
        </w:tc>
        <w:tc>
          <w:tcPr>
            <w:tcW w:w="1373" w:type="dxa"/>
            <w:gridSpan w:val="2"/>
            <w:vAlign w:val="center"/>
          </w:tcPr>
          <w:p w14:paraId="70EE8447">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981" w:type="dxa"/>
            <w:gridSpan w:val="2"/>
            <w:vAlign w:val="center"/>
          </w:tcPr>
          <w:p w14:paraId="3E67A43C">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1096" w:type="dxa"/>
            <w:vAlign w:val="center"/>
          </w:tcPr>
          <w:p w14:paraId="4719A0B2">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r>
      <w:tr w14:paraId="344AC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34" w:type="dxa"/>
            <w:vAlign w:val="center"/>
          </w:tcPr>
          <w:p w14:paraId="6B25EF68">
            <w:pPr>
              <w:spacing w:before="0" w:after="0" w:line="240" w:lineRule="exact"/>
              <w:jc w:val="left"/>
              <w:rPr>
                <w:rFonts w:ascii="宋体" w:hAnsi="宋体" w:eastAsia="宋体" w:cs="宋体"/>
                <w:sz w:val="18"/>
                <w:szCs w:val="18"/>
              </w:rPr>
            </w:pPr>
            <w:r>
              <w:rPr>
                <w:rFonts w:ascii="宋体" w:hAnsi="宋体" w:eastAsia="宋体" w:cs="宋体"/>
                <w:sz w:val="18"/>
                <w:szCs w:val="18"/>
              </w:rPr>
              <w:t>温丽霞</w:t>
            </w:r>
          </w:p>
        </w:tc>
        <w:tc>
          <w:tcPr>
            <w:tcW w:w="1500" w:type="dxa"/>
            <w:gridSpan w:val="2"/>
            <w:vAlign w:val="center"/>
          </w:tcPr>
          <w:p w14:paraId="0A3AB3A3">
            <w:pPr>
              <w:spacing w:before="0" w:after="0" w:line="240" w:lineRule="exact"/>
              <w:jc w:val="left"/>
              <w:rPr>
                <w:rFonts w:ascii="宋体" w:hAnsi="宋体" w:eastAsia="宋体" w:cs="宋体"/>
                <w:sz w:val="18"/>
                <w:szCs w:val="18"/>
              </w:rPr>
            </w:pPr>
            <w:r>
              <w:rPr>
                <w:rFonts w:ascii="宋体" w:hAnsi="宋体" w:eastAsia="宋体" w:cs="宋体"/>
                <w:sz w:val="18"/>
                <w:szCs w:val="18"/>
              </w:rPr>
              <w:t>境内自然人</w:t>
            </w:r>
          </w:p>
        </w:tc>
        <w:tc>
          <w:tcPr>
            <w:tcW w:w="981" w:type="dxa"/>
            <w:gridSpan w:val="2"/>
            <w:vAlign w:val="center"/>
          </w:tcPr>
          <w:p w14:paraId="4D568793">
            <w:pPr>
              <w:spacing w:before="0" w:after="0" w:line="240" w:lineRule="exact"/>
              <w:jc w:val="right"/>
              <w:rPr>
                <w:rFonts w:ascii="宋体" w:hAnsi="宋体" w:eastAsia="宋体" w:cs="宋体"/>
                <w:sz w:val="18"/>
                <w:szCs w:val="18"/>
              </w:rPr>
            </w:pPr>
            <w:r>
              <w:rPr>
                <w:rFonts w:ascii="宋体" w:hAnsi="宋体" w:eastAsia="宋体" w:cs="宋体"/>
                <w:sz w:val="18"/>
                <w:szCs w:val="18"/>
              </w:rPr>
              <w:t>0.79%</w:t>
            </w:r>
          </w:p>
        </w:tc>
        <w:tc>
          <w:tcPr>
            <w:tcW w:w="1419" w:type="dxa"/>
            <w:vAlign w:val="center"/>
          </w:tcPr>
          <w:p w14:paraId="0CA862F9">
            <w:pPr>
              <w:spacing w:before="0" w:after="0" w:line="240" w:lineRule="exact"/>
              <w:jc w:val="right"/>
              <w:rPr>
                <w:rFonts w:ascii="宋体" w:hAnsi="宋体" w:eastAsia="宋体" w:cs="宋体"/>
                <w:sz w:val="18"/>
                <w:szCs w:val="18"/>
              </w:rPr>
            </w:pPr>
            <w:r>
              <w:rPr>
                <w:rFonts w:ascii="宋体" w:hAnsi="宋体" w:eastAsia="宋体" w:cs="宋体"/>
                <w:sz w:val="18"/>
                <w:szCs w:val="18"/>
              </w:rPr>
              <w:t>1,545,340.00</w:t>
            </w:r>
          </w:p>
        </w:tc>
        <w:tc>
          <w:tcPr>
            <w:tcW w:w="1373" w:type="dxa"/>
            <w:gridSpan w:val="2"/>
            <w:vAlign w:val="center"/>
          </w:tcPr>
          <w:p w14:paraId="2B24C1E0">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981" w:type="dxa"/>
            <w:gridSpan w:val="2"/>
            <w:vAlign w:val="center"/>
          </w:tcPr>
          <w:p w14:paraId="46DC168F">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1096" w:type="dxa"/>
            <w:vAlign w:val="center"/>
          </w:tcPr>
          <w:p w14:paraId="45456109">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r>
      <w:tr w14:paraId="17983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34" w:type="dxa"/>
            <w:vAlign w:val="center"/>
          </w:tcPr>
          <w:p w14:paraId="240EAC5D">
            <w:pPr>
              <w:spacing w:before="0" w:after="0" w:line="240" w:lineRule="exact"/>
              <w:jc w:val="left"/>
              <w:rPr>
                <w:rFonts w:ascii="宋体" w:hAnsi="宋体" w:eastAsia="宋体" w:cs="宋体"/>
                <w:sz w:val="18"/>
                <w:szCs w:val="18"/>
              </w:rPr>
            </w:pPr>
            <w:r>
              <w:rPr>
                <w:rFonts w:ascii="宋体" w:hAnsi="宋体" w:eastAsia="宋体" w:cs="宋体"/>
                <w:sz w:val="18"/>
                <w:szCs w:val="18"/>
              </w:rPr>
              <w:t>吴玮</w:t>
            </w:r>
          </w:p>
        </w:tc>
        <w:tc>
          <w:tcPr>
            <w:tcW w:w="1500" w:type="dxa"/>
            <w:gridSpan w:val="2"/>
            <w:vAlign w:val="center"/>
          </w:tcPr>
          <w:p w14:paraId="0C88F3F2">
            <w:pPr>
              <w:spacing w:before="0" w:after="0" w:line="240" w:lineRule="exact"/>
              <w:jc w:val="left"/>
              <w:rPr>
                <w:rFonts w:ascii="宋体" w:hAnsi="宋体" w:eastAsia="宋体" w:cs="宋体"/>
                <w:sz w:val="18"/>
                <w:szCs w:val="18"/>
              </w:rPr>
            </w:pPr>
            <w:r>
              <w:rPr>
                <w:rFonts w:ascii="宋体" w:hAnsi="宋体" w:eastAsia="宋体" w:cs="宋体"/>
                <w:sz w:val="18"/>
                <w:szCs w:val="18"/>
              </w:rPr>
              <w:t>境内自然人</w:t>
            </w:r>
          </w:p>
        </w:tc>
        <w:tc>
          <w:tcPr>
            <w:tcW w:w="981" w:type="dxa"/>
            <w:gridSpan w:val="2"/>
            <w:vAlign w:val="center"/>
          </w:tcPr>
          <w:p w14:paraId="701EDFD1">
            <w:pPr>
              <w:spacing w:before="0" w:after="0" w:line="240" w:lineRule="exact"/>
              <w:jc w:val="right"/>
              <w:rPr>
                <w:rFonts w:ascii="宋体" w:hAnsi="宋体" w:eastAsia="宋体" w:cs="宋体"/>
                <w:sz w:val="18"/>
                <w:szCs w:val="18"/>
              </w:rPr>
            </w:pPr>
            <w:r>
              <w:rPr>
                <w:rFonts w:ascii="宋体" w:hAnsi="宋体" w:eastAsia="宋体" w:cs="宋体"/>
                <w:sz w:val="18"/>
                <w:szCs w:val="18"/>
              </w:rPr>
              <w:t>0.64%</w:t>
            </w:r>
          </w:p>
        </w:tc>
        <w:tc>
          <w:tcPr>
            <w:tcW w:w="1419" w:type="dxa"/>
            <w:vAlign w:val="center"/>
          </w:tcPr>
          <w:p w14:paraId="0F0CEE47">
            <w:pPr>
              <w:spacing w:before="0" w:after="0" w:line="240" w:lineRule="exact"/>
              <w:jc w:val="right"/>
              <w:rPr>
                <w:rFonts w:ascii="宋体" w:hAnsi="宋体" w:eastAsia="宋体" w:cs="宋体"/>
                <w:sz w:val="18"/>
                <w:szCs w:val="18"/>
              </w:rPr>
            </w:pPr>
            <w:r>
              <w:rPr>
                <w:rFonts w:ascii="宋体" w:hAnsi="宋体" w:eastAsia="宋体" w:cs="宋体"/>
                <w:sz w:val="18"/>
                <w:szCs w:val="18"/>
              </w:rPr>
              <w:t>1,246,200.00</w:t>
            </w:r>
          </w:p>
        </w:tc>
        <w:tc>
          <w:tcPr>
            <w:tcW w:w="1373" w:type="dxa"/>
            <w:gridSpan w:val="2"/>
            <w:vAlign w:val="center"/>
          </w:tcPr>
          <w:p w14:paraId="422D732E">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981" w:type="dxa"/>
            <w:gridSpan w:val="2"/>
            <w:vAlign w:val="center"/>
          </w:tcPr>
          <w:p w14:paraId="5602194C">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1096" w:type="dxa"/>
            <w:vAlign w:val="center"/>
          </w:tcPr>
          <w:p w14:paraId="726708FA">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r>
      <w:tr w14:paraId="1E450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34" w:type="dxa"/>
            <w:vAlign w:val="center"/>
          </w:tcPr>
          <w:p w14:paraId="3A2CF80E">
            <w:pPr>
              <w:spacing w:before="0" w:after="0" w:line="240" w:lineRule="exact"/>
              <w:jc w:val="left"/>
              <w:rPr>
                <w:rFonts w:ascii="宋体" w:hAnsi="宋体" w:eastAsia="宋体" w:cs="宋体"/>
                <w:sz w:val="18"/>
                <w:szCs w:val="18"/>
              </w:rPr>
            </w:pPr>
            <w:r>
              <w:rPr>
                <w:rFonts w:ascii="宋体" w:hAnsi="宋体" w:eastAsia="宋体" w:cs="宋体"/>
                <w:sz w:val="18"/>
                <w:szCs w:val="18"/>
              </w:rPr>
              <w:t>张莉</w:t>
            </w:r>
          </w:p>
        </w:tc>
        <w:tc>
          <w:tcPr>
            <w:tcW w:w="1500" w:type="dxa"/>
            <w:gridSpan w:val="2"/>
            <w:vAlign w:val="center"/>
          </w:tcPr>
          <w:p w14:paraId="21EFF88D">
            <w:pPr>
              <w:spacing w:before="0" w:after="0" w:line="240" w:lineRule="exact"/>
              <w:jc w:val="left"/>
              <w:rPr>
                <w:rFonts w:ascii="宋体" w:hAnsi="宋体" w:eastAsia="宋体" w:cs="宋体"/>
                <w:sz w:val="18"/>
                <w:szCs w:val="18"/>
              </w:rPr>
            </w:pPr>
            <w:r>
              <w:rPr>
                <w:rFonts w:ascii="宋体" w:hAnsi="宋体" w:eastAsia="宋体" w:cs="宋体"/>
                <w:sz w:val="18"/>
                <w:szCs w:val="18"/>
              </w:rPr>
              <w:t>境内自然人</w:t>
            </w:r>
          </w:p>
        </w:tc>
        <w:tc>
          <w:tcPr>
            <w:tcW w:w="981" w:type="dxa"/>
            <w:gridSpan w:val="2"/>
            <w:vAlign w:val="center"/>
          </w:tcPr>
          <w:p w14:paraId="65C62DF6">
            <w:pPr>
              <w:spacing w:before="0" w:after="0" w:line="240" w:lineRule="exact"/>
              <w:jc w:val="right"/>
              <w:rPr>
                <w:rFonts w:ascii="宋体" w:hAnsi="宋体" w:eastAsia="宋体" w:cs="宋体"/>
                <w:sz w:val="18"/>
                <w:szCs w:val="18"/>
              </w:rPr>
            </w:pPr>
            <w:r>
              <w:rPr>
                <w:rFonts w:ascii="宋体" w:hAnsi="宋体" w:eastAsia="宋体" w:cs="宋体"/>
                <w:sz w:val="18"/>
                <w:szCs w:val="18"/>
              </w:rPr>
              <w:t>0.53%</w:t>
            </w:r>
          </w:p>
        </w:tc>
        <w:tc>
          <w:tcPr>
            <w:tcW w:w="1419" w:type="dxa"/>
            <w:vAlign w:val="center"/>
          </w:tcPr>
          <w:p w14:paraId="0AB1380B">
            <w:pPr>
              <w:spacing w:before="0" w:after="0" w:line="240" w:lineRule="exact"/>
              <w:jc w:val="right"/>
              <w:rPr>
                <w:rFonts w:ascii="宋体" w:hAnsi="宋体" w:eastAsia="宋体" w:cs="宋体"/>
                <w:sz w:val="18"/>
                <w:szCs w:val="18"/>
              </w:rPr>
            </w:pPr>
            <w:r>
              <w:rPr>
                <w:rFonts w:ascii="宋体" w:hAnsi="宋体" w:eastAsia="宋体" w:cs="宋体"/>
                <w:sz w:val="18"/>
                <w:szCs w:val="18"/>
              </w:rPr>
              <w:t>1,032,108.00</w:t>
            </w:r>
          </w:p>
        </w:tc>
        <w:tc>
          <w:tcPr>
            <w:tcW w:w="1373" w:type="dxa"/>
            <w:gridSpan w:val="2"/>
            <w:vAlign w:val="center"/>
          </w:tcPr>
          <w:p w14:paraId="7C2C6166">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981" w:type="dxa"/>
            <w:gridSpan w:val="2"/>
            <w:vAlign w:val="center"/>
          </w:tcPr>
          <w:p w14:paraId="04B94A1B">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1096" w:type="dxa"/>
            <w:vAlign w:val="center"/>
          </w:tcPr>
          <w:p w14:paraId="3E0C7C5D">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r>
      <w:tr w14:paraId="37352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34" w:type="dxa"/>
            <w:vAlign w:val="center"/>
          </w:tcPr>
          <w:p w14:paraId="5C22DB87">
            <w:pPr>
              <w:spacing w:before="0" w:after="0" w:line="240" w:lineRule="exact"/>
              <w:jc w:val="left"/>
              <w:rPr>
                <w:rFonts w:ascii="宋体" w:hAnsi="宋体" w:eastAsia="宋体" w:cs="宋体"/>
                <w:sz w:val="18"/>
                <w:szCs w:val="18"/>
              </w:rPr>
            </w:pPr>
            <w:r>
              <w:rPr>
                <w:rFonts w:ascii="宋体" w:hAnsi="宋体" w:eastAsia="宋体" w:cs="宋体"/>
                <w:sz w:val="18"/>
                <w:szCs w:val="18"/>
              </w:rPr>
              <w:t>刘英</w:t>
            </w:r>
          </w:p>
        </w:tc>
        <w:tc>
          <w:tcPr>
            <w:tcW w:w="1500" w:type="dxa"/>
            <w:gridSpan w:val="2"/>
            <w:vAlign w:val="center"/>
          </w:tcPr>
          <w:p w14:paraId="796AD7E0">
            <w:pPr>
              <w:spacing w:before="0" w:after="0" w:line="240" w:lineRule="exact"/>
              <w:jc w:val="left"/>
              <w:rPr>
                <w:rFonts w:ascii="宋体" w:hAnsi="宋体" w:eastAsia="宋体" w:cs="宋体"/>
                <w:sz w:val="18"/>
                <w:szCs w:val="18"/>
              </w:rPr>
            </w:pPr>
            <w:r>
              <w:rPr>
                <w:rFonts w:ascii="宋体" w:hAnsi="宋体" w:eastAsia="宋体" w:cs="宋体"/>
                <w:sz w:val="18"/>
                <w:szCs w:val="18"/>
              </w:rPr>
              <w:t>境内自然人</w:t>
            </w:r>
          </w:p>
        </w:tc>
        <w:tc>
          <w:tcPr>
            <w:tcW w:w="981" w:type="dxa"/>
            <w:gridSpan w:val="2"/>
            <w:vAlign w:val="center"/>
          </w:tcPr>
          <w:p w14:paraId="1777D623">
            <w:pPr>
              <w:spacing w:before="0" w:after="0" w:line="240" w:lineRule="exact"/>
              <w:jc w:val="right"/>
              <w:rPr>
                <w:rFonts w:ascii="宋体" w:hAnsi="宋体" w:eastAsia="宋体" w:cs="宋体"/>
                <w:sz w:val="18"/>
                <w:szCs w:val="18"/>
              </w:rPr>
            </w:pPr>
            <w:r>
              <w:rPr>
                <w:rFonts w:ascii="宋体" w:hAnsi="宋体" w:eastAsia="宋体" w:cs="宋体"/>
                <w:sz w:val="18"/>
                <w:szCs w:val="18"/>
              </w:rPr>
              <w:t>0.52%</w:t>
            </w:r>
          </w:p>
        </w:tc>
        <w:tc>
          <w:tcPr>
            <w:tcW w:w="1419" w:type="dxa"/>
            <w:vAlign w:val="center"/>
          </w:tcPr>
          <w:p w14:paraId="7DFB49D1">
            <w:pPr>
              <w:spacing w:before="0" w:after="0" w:line="240" w:lineRule="exact"/>
              <w:jc w:val="right"/>
              <w:rPr>
                <w:rFonts w:ascii="宋体" w:hAnsi="宋体" w:eastAsia="宋体" w:cs="宋体"/>
                <w:sz w:val="18"/>
                <w:szCs w:val="18"/>
              </w:rPr>
            </w:pPr>
            <w:r>
              <w:rPr>
                <w:rFonts w:ascii="宋体" w:hAnsi="宋体" w:eastAsia="宋体" w:cs="宋体"/>
                <w:sz w:val="18"/>
                <w:szCs w:val="18"/>
              </w:rPr>
              <w:t>1,015,900.00</w:t>
            </w:r>
          </w:p>
        </w:tc>
        <w:tc>
          <w:tcPr>
            <w:tcW w:w="1373" w:type="dxa"/>
            <w:gridSpan w:val="2"/>
            <w:vAlign w:val="center"/>
          </w:tcPr>
          <w:p w14:paraId="5571D5ED">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981" w:type="dxa"/>
            <w:gridSpan w:val="2"/>
            <w:vAlign w:val="center"/>
          </w:tcPr>
          <w:p w14:paraId="77CE056E">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1096" w:type="dxa"/>
            <w:vAlign w:val="center"/>
          </w:tcPr>
          <w:p w14:paraId="4D665F65">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r>
      <w:tr w14:paraId="3B8BA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34" w:type="dxa"/>
            <w:vAlign w:val="center"/>
          </w:tcPr>
          <w:p w14:paraId="4138FB96">
            <w:pPr>
              <w:spacing w:before="0" w:after="0" w:line="240" w:lineRule="exact"/>
              <w:jc w:val="left"/>
              <w:rPr>
                <w:rFonts w:ascii="宋体" w:hAnsi="宋体" w:eastAsia="宋体" w:cs="宋体"/>
                <w:sz w:val="18"/>
                <w:szCs w:val="18"/>
              </w:rPr>
            </w:pPr>
            <w:r>
              <w:rPr>
                <w:rFonts w:ascii="宋体" w:hAnsi="宋体" w:eastAsia="宋体" w:cs="宋体"/>
                <w:sz w:val="18"/>
                <w:szCs w:val="18"/>
              </w:rPr>
              <w:t>刘竹轩</w:t>
            </w:r>
          </w:p>
        </w:tc>
        <w:tc>
          <w:tcPr>
            <w:tcW w:w="1500" w:type="dxa"/>
            <w:gridSpan w:val="2"/>
            <w:vAlign w:val="center"/>
          </w:tcPr>
          <w:p w14:paraId="77B68A66">
            <w:pPr>
              <w:spacing w:before="0" w:after="0" w:line="240" w:lineRule="exact"/>
              <w:jc w:val="left"/>
              <w:rPr>
                <w:rFonts w:ascii="宋体" w:hAnsi="宋体" w:eastAsia="宋体" w:cs="宋体"/>
                <w:sz w:val="18"/>
                <w:szCs w:val="18"/>
              </w:rPr>
            </w:pPr>
            <w:r>
              <w:rPr>
                <w:rFonts w:ascii="宋体" w:hAnsi="宋体" w:eastAsia="宋体" w:cs="宋体"/>
                <w:sz w:val="18"/>
                <w:szCs w:val="18"/>
              </w:rPr>
              <w:t>境内自然人</w:t>
            </w:r>
          </w:p>
        </w:tc>
        <w:tc>
          <w:tcPr>
            <w:tcW w:w="981" w:type="dxa"/>
            <w:gridSpan w:val="2"/>
            <w:vAlign w:val="center"/>
          </w:tcPr>
          <w:p w14:paraId="0352090B">
            <w:pPr>
              <w:spacing w:before="0" w:after="0" w:line="240" w:lineRule="exact"/>
              <w:jc w:val="right"/>
              <w:rPr>
                <w:rFonts w:ascii="宋体" w:hAnsi="宋体" w:eastAsia="宋体" w:cs="宋体"/>
                <w:sz w:val="18"/>
                <w:szCs w:val="18"/>
              </w:rPr>
            </w:pPr>
            <w:r>
              <w:rPr>
                <w:rFonts w:ascii="宋体" w:hAnsi="宋体" w:eastAsia="宋体" w:cs="宋体"/>
                <w:sz w:val="18"/>
                <w:szCs w:val="18"/>
              </w:rPr>
              <w:t>0.48%</w:t>
            </w:r>
          </w:p>
        </w:tc>
        <w:tc>
          <w:tcPr>
            <w:tcW w:w="1419" w:type="dxa"/>
            <w:vAlign w:val="center"/>
          </w:tcPr>
          <w:p w14:paraId="2C207A8F">
            <w:pPr>
              <w:spacing w:before="0" w:after="0" w:line="240" w:lineRule="exact"/>
              <w:jc w:val="right"/>
              <w:rPr>
                <w:rFonts w:ascii="宋体" w:hAnsi="宋体" w:eastAsia="宋体" w:cs="宋体"/>
                <w:sz w:val="18"/>
                <w:szCs w:val="18"/>
              </w:rPr>
            </w:pPr>
            <w:r>
              <w:rPr>
                <w:rFonts w:ascii="宋体" w:hAnsi="宋体" w:eastAsia="宋体" w:cs="宋体"/>
                <w:sz w:val="18"/>
                <w:szCs w:val="18"/>
              </w:rPr>
              <w:t>930,000.00</w:t>
            </w:r>
          </w:p>
        </w:tc>
        <w:tc>
          <w:tcPr>
            <w:tcW w:w="1373" w:type="dxa"/>
            <w:gridSpan w:val="2"/>
            <w:vAlign w:val="center"/>
          </w:tcPr>
          <w:p w14:paraId="07096D61">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981" w:type="dxa"/>
            <w:gridSpan w:val="2"/>
            <w:vAlign w:val="center"/>
          </w:tcPr>
          <w:p w14:paraId="7566EB59">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1096" w:type="dxa"/>
            <w:vAlign w:val="center"/>
          </w:tcPr>
          <w:p w14:paraId="36D15ECD">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r>
      <w:tr w14:paraId="53102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434" w:type="dxa"/>
            <w:vAlign w:val="center"/>
          </w:tcPr>
          <w:p w14:paraId="13D97DDE">
            <w:pPr>
              <w:spacing w:before="0" w:after="0" w:line="240" w:lineRule="exact"/>
              <w:jc w:val="left"/>
              <w:rPr>
                <w:rFonts w:ascii="宋体" w:hAnsi="宋体" w:eastAsia="宋体" w:cs="宋体"/>
                <w:sz w:val="18"/>
                <w:szCs w:val="18"/>
              </w:rPr>
            </w:pPr>
            <w:r>
              <w:rPr>
                <w:rFonts w:ascii="宋体" w:hAnsi="宋体" w:eastAsia="宋体" w:cs="宋体"/>
                <w:sz w:val="18"/>
                <w:szCs w:val="18"/>
              </w:rPr>
              <w:t>孙奥</w:t>
            </w:r>
          </w:p>
        </w:tc>
        <w:tc>
          <w:tcPr>
            <w:tcW w:w="1500" w:type="dxa"/>
            <w:gridSpan w:val="2"/>
            <w:vAlign w:val="center"/>
          </w:tcPr>
          <w:p w14:paraId="767B36A7">
            <w:pPr>
              <w:spacing w:before="0" w:after="0" w:line="240" w:lineRule="exact"/>
              <w:jc w:val="left"/>
              <w:rPr>
                <w:rFonts w:ascii="宋体" w:hAnsi="宋体" w:eastAsia="宋体" w:cs="宋体"/>
                <w:sz w:val="18"/>
                <w:szCs w:val="18"/>
              </w:rPr>
            </w:pPr>
            <w:r>
              <w:rPr>
                <w:rFonts w:ascii="宋体" w:hAnsi="宋体" w:eastAsia="宋体" w:cs="宋体"/>
                <w:sz w:val="18"/>
                <w:szCs w:val="18"/>
              </w:rPr>
              <w:t>境内自然人</w:t>
            </w:r>
          </w:p>
        </w:tc>
        <w:tc>
          <w:tcPr>
            <w:tcW w:w="981" w:type="dxa"/>
            <w:gridSpan w:val="2"/>
            <w:vAlign w:val="center"/>
          </w:tcPr>
          <w:p w14:paraId="1AF8ABB2">
            <w:pPr>
              <w:spacing w:before="0" w:after="0" w:line="240" w:lineRule="exact"/>
              <w:jc w:val="right"/>
              <w:rPr>
                <w:rFonts w:ascii="宋体" w:hAnsi="宋体" w:eastAsia="宋体" w:cs="宋体"/>
                <w:sz w:val="18"/>
                <w:szCs w:val="18"/>
              </w:rPr>
            </w:pPr>
            <w:r>
              <w:rPr>
                <w:rFonts w:ascii="宋体" w:hAnsi="宋体" w:eastAsia="宋体" w:cs="宋体"/>
                <w:sz w:val="18"/>
                <w:szCs w:val="18"/>
              </w:rPr>
              <w:t>0.41%</w:t>
            </w:r>
          </w:p>
        </w:tc>
        <w:tc>
          <w:tcPr>
            <w:tcW w:w="1419" w:type="dxa"/>
            <w:vAlign w:val="center"/>
          </w:tcPr>
          <w:p w14:paraId="35876065">
            <w:pPr>
              <w:spacing w:before="0" w:after="0" w:line="240" w:lineRule="exact"/>
              <w:jc w:val="right"/>
              <w:rPr>
                <w:rFonts w:ascii="宋体" w:hAnsi="宋体" w:eastAsia="宋体" w:cs="宋体"/>
                <w:sz w:val="18"/>
                <w:szCs w:val="18"/>
              </w:rPr>
            </w:pPr>
            <w:r>
              <w:rPr>
                <w:rFonts w:ascii="宋体" w:hAnsi="宋体" w:eastAsia="宋体" w:cs="宋体"/>
                <w:sz w:val="18"/>
                <w:szCs w:val="18"/>
              </w:rPr>
              <w:t>791,170.00</w:t>
            </w:r>
          </w:p>
        </w:tc>
        <w:tc>
          <w:tcPr>
            <w:tcW w:w="1373" w:type="dxa"/>
            <w:gridSpan w:val="2"/>
            <w:vAlign w:val="center"/>
          </w:tcPr>
          <w:p w14:paraId="4710F59B">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c>
          <w:tcPr>
            <w:tcW w:w="981" w:type="dxa"/>
            <w:gridSpan w:val="2"/>
            <w:vAlign w:val="center"/>
          </w:tcPr>
          <w:p w14:paraId="4021AF21">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1096" w:type="dxa"/>
            <w:vAlign w:val="center"/>
          </w:tcPr>
          <w:p w14:paraId="31A7F2ED">
            <w:pPr>
              <w:spacing w:before="0" w:after="0" w:line="240" w:lineRule="exact"/>
              <w:jc w:val="right"/>
              <w:rPr>
                <w:rFonts w:ascii="宋体" w:hAnsi="宋体" w:eastAsia="宋体" w:cs="宋体"/>
                <w:sz w:val="18"/>
                <w:szCs w:val="18"/>
              </w:rPr>
            </w:pPr>
            <w:r>
              <w:rPr>
                <w:rFonts w:ascii="宋体" w:hAnsi="宋体" w:eastAsia="宋体" w:cs="宋体"/>
                <w:sz w:val="18"/>
                <w:szCs w:val="18"/>
              </w:rPr>
              <w:t>0.00</w:t>
            </w:r>
          </w:p>
        </w:tc>
      </w:tr>
      <w:tr w14:paraId="0CF3D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784" w:type="dxa"/>
            <w:gridSpan w:val="11"/>
            <w:shd w:val="clear" w:color="auto" w:fill="D3D3D3"/>
            <w:vAlign w:val="center"/>
          </w:tcPr>
          <w:p w14:paraId="08CCA87D">
            <w:pPr>
              <w:spacing w:before="0" w:after="0" w:line="240" w:lineRule="exact"/>
              <w:jc w:val="center"/>
              <w:rPr>
                <w:rFonts w:ascii="宋体" w:hAnsi="宋体" w:eastAsia="宋体" w:cs="宋体"/>
                <w:sz w:val="18"/>
                <w:szCs w:val="18"/>
              </w:rPr>
            </w:pPr>
            <w:r>
              <w:rPr>
                <w:rFonts w:ascii="宋体" w:hAnsi="宋体" w:eastAsia="宋体" w:cs="宋体"/>
                <w:sz w:val="18"/>
                <w:szCs w:val="18"/>
              </w:rPr>
              <w:t>前10名无限售条件股东持股情况（不含通过转融通出借股份、高管锁定股）</w:t>
            </w:r>
          </w:p>
        </w:tc>
      </w:tr>
      <w:tr w14:paraId="336E2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47" w:type="dxa"/>
            <w:gridSpan w:val="4"/>
            <w:vMerge w:val="restart"/>
            <w:shd w:val="clear" w:color="auto" w:fill="D3D3D3"/>
            <w:vAlign w:val="center"/>
          </w:tcPr>
          <w:p w14:paraId="6555FE70">
            <w:pPr>
              <w:spacing w:before="0" w:after="0" w:line="240" w:lineRule="exact"/>
              <w:jc w:val="center"/>
              <w:rPr>
                <w:rFonts w:ascii="宋体" w:hAnsi="宋体" w:eastAsia="宋体" w:cs="宋体"/>
                <w:sz w:val="18"/>
                <w:szCs w:val="18"/>
              </w:rPr>
            </w:pPr>
            <w:r>
              <w:rPr>
                <w:rFonts w:ascii="宋体" w:hAnsi="宋体" w:eastAsia="宋体" w:cs="宋体"/>
                <w:sz w:val="18"/>
                <w:szCs w:val="18"/>
              </w:rPr>
              <w:t>股东名称</w:t>
            </w:r>
          </w:p>
        </w:tc>
        <w:tc>
          <w:tcPr>
            <w:tcW w:w="2938" w:type="dxa"/>
            <w:gridSpan w:val="3"/>
            <w:vMerge w:val="restart"/>
            <w:shd w:val="clear" w:color="auto" w:fill="D3D3D3"/>
            <w:vAlign w:val="center"/>
          </w:tcPr>
          <w:p w14:paraId="42C4BE67">
            <w:pPr>
              <w:spacing w:before="0" w:after="0" w:line="240" w:lineRule="exact"/>
              <w:jc w:val="center"/>
              <w:rPr>
                <w:rFonts w:ascii="宋体" w:hAnsi="宋体" w:eastAsia="宋体" w:cs="宋体"/>
                <w:sz w:val="18"/>
                <w:szCs w:val="18"/>
              </w:rPr>
            </w:pPr>
            <w:r>
              <w:rPr>
                <w:rFonts w:ascii="宋体" w:hAnsi="宋体" w:eastAsia="宋体" w:cs="宋体"/>
                <w:sz w:val="18"/>
                <w:szCs w:val="18"/>
              </w:rPr>
              <w:t>持有无限售条件股份数量</w:t>
            </w:r>
          </w:p>
        </w:tc>
        <w:tc>
          <w:tcPr>
            <w:tcW w:w="2899" w:type="dxa"/>
            <w:gridSpan w:val="4"/>
            <w:shd w:val="clear" w:color="auto" w:fill="D3D3D3"/>
            <w:vAlign w:val="center"/>
          </w:tcPr>
          <w:p w14:paraId="13415EF5">
            <w:pPr>
              <w:spacing w:before="0" w:after="0" w:line="240" w:lineRule="exact"/>
              <w:jc w:val="center"/>
              <w:rPr>
                <w:rFonts w:ascii="宋体" w:hAnsi="宋体" w:eastAsia="宋体" w:cs="宋体"/>
                <w:sz w:val="18"/>
                <w:szCs w:val="18"/>
              </w:rPr>
            </w:pPr>
            <w:r>
              <w:rPr>
                <w:rFonts w:ascii="宋体" w:hAnsi="宋体" w:eastAsia="宋体" w:cs="宋体"/>
                <w:sz w:val="18"/>
                <w:szCs w:val="18"/>
              </w:rPr>
              <w:t>股份种类</w:t>
            </w:r>
          </w:p>
        </w:tc>
      </w:tr>
      <w:tr w14:paraId="75572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47" w:type="dxa"/>
            <w:gridSpan w:val="4"/>
            <w:vMerge w:val="continue"/>
            <w:vAlign w:val="center"/>
          </w:tcPr>
          <w:p w14:paraId="4DB0C964"/>
        </w:tc>
        <w:tc>
          <w:tcPr>
            <w:tcW w:w="2938" w:type="dxa"/>
            <w:gridSpan w:val="3"/>
            <w:vMerge w:val="continue"/>
            <w:vAlign w:val="center"/>
          </w:tcPr>
          <w:p w14:paraId="619A2812"/>
        </w:tc>
        <w:tc>
          <w:tcPr>
            <w:tcW w:w="1377" w:type="dxa"/>
            <w:gridSpan w:val="2"/>
            <w:shd w:val="clear" w:color="auto" w:fill="D3D3D3"/>
            <w:vAlign w:val="center"/>
          </w:tcPr>
          <w:p w14:paraId="64BAEE75">
            <w:pPr>
              <w:spacing w:before="0" w:after="0" w:line="240" w:lineRule="exact"/>
              <w:jc w:val="center"/>
              <w:rPr>
                <w:rFonts w:ascii="宋体" w:hAnsi="宋体" w:eastAsia="宋体" w:cs="宋体"/>
                <w:sz w:val="18"/>
                <w:szCs w:val="18"/>
              </w:rPr>
            </w:pPr>
            <w:r>
              <w:rPr>
                <w:rFonts w:ascii="宋体" w:hAnsi="宋体" w:eastAsia="宋体" w:cs="宋体"/>
                <w:sz w:val="18"/>
                <w:szCs w:val="18"/>
              </w:rPr>
              <w:t>股份种类</w:t>
            </w:r>
          </w:p>
        </w:tc>
        <w:tc>
          <w:tcPr>
            <w:tcW w:w="1522" w:type="dxa"/>
            <w:gridSpan w:val="2"/>
            <w:shd w:val="clear" w:color="auto" w:fill="D3D3D3"/>
            <w:vAlign w:val="center"/>
          </w:tcPr>
          <w:p w14:paraId="365C1866">
            <w:pPr>
              <w:spacing w:before="0" w:after="0" w:line="240" w:lineRule="exact"/>
              <w:jc w:val="center"/>
              <w:rPr>
                <w:rFonts w:ascii="宋体" w:hAnsi="宋体" w:eastAsia="宋体" w:cs="宋体"/>
                <w:sz w:val="18"/>
                <w:szCs w:val="18"/>
              </w:rPr>
            </w:pPr>
            <w:r>
              <w:rPr>
                <w:rFonts w:ascii="宋体" w:hAnsi="宋体" w:eastAsia="宋体" w:cs="宋体"/>
                <w:sz w:val="18"/>
                <w:szCs w:val="18"/>
              </w:rPr>
              <w:t>数量</w:t>
            </w:r>
          </w:p>
        </w:tc>
      </w:tr>
      <w:tr w14:paraId="5F09B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47" w:type="dxa"/>
            <w:gridSpan w:val="4"/>
            <w:vAlign w:val="center"/>
          </w:tcPr>
          <w:p w14:paraId="76AC367E">
            <w:pPr>
              <w:spacing w:before="0" w:after="0" w:line="240" w:lineRule="exact"/>
              <w:jc w:val="left"/>
              <w:rPr>
                <w:rFonts w:ascii="宋体" w:hAnsi="宋体" w:eastAsia="宋体" w:cs="宋体"/>
                <w:sz w:val="18"/>
                <w:szCs w:val="18"/>
              </w:rPr>
            </w:pPr>
            <w:r>
              <w:rPr>
                <w:rFonts w:ascii="宋体" w:hAnsi="宋体" w:eastAsia="宋体" w:cs="宋体"/>
                <w:sz w:val="18"/>
                <w:szCs w:val="18"/>
              </w:rPr>
              <w:t>青岛华通国有资本投资运营集团有限公司</w:t>
            </w:r>
          </w:p>
        </w:tc>
        <w:tc>
          <w:tcPr>
            <w:tcW w:w="2938" w:type="dxa"/>
            <w:gridSpan w:val="3"/>
            <w:vAlign w:val="center"/>
          </w:tcPr>
          <w:p w14:paraId="0435FFE7">
            <w:pPr>
              <w:spacing w:before="0" w:after="0" w:line="240" w:lineRule="exact"/>
              <w:jc w:val="right"/>
              <w:rPr>
                <w:rFonts w:ascii="宋体" w:hAnsi="宋体" w:eastAsia="宋体" w:cs="宋体"/>
                <w:sz w:val="18"/>
                <w:szCs w:val="18"/>
              </w:rPr>
            </w:pPr>
            <w:r>
              <w:rPr>
                <w:rFonts w:ascii="宋体" w:hAnsi="宋体" w:eastAsia="宋体" w:cs="宋体"/>
                <w:sz w:val="18"/>
                <w:szCs w:val="18"/>
              </w:rPr>
              <w:t>91,134,905.00</w:t>
            </w:r>
          </w:p>
        </w:tc>
        <w:tc>
          <w:tcPr>
            <w:tcW w:w="1377" w:type="dxa"/>
            <w:gridSpan w:val="2"/>
            <w:vAlign w:val="center"/>
          </w:tcPr>
          <w:p w14:paraId="42F732E3">
            <w:pPr>
              <w:spacing w:before="0" w:after="0" w:line="240" w:lineRule="exact"/>
              <w:jc w:val="left"/>
              <w:rPr>
                <w:rFonts w:ascii="宋体" w:hAnsi="宋体" w:eastAsia="宋体" w:cs="宋体"/>
                <w:sz w:val="18"/>
                <w:szCs w:val="18"/>
              </w:rPr>
            </w:pPr>
            <w:r>
              <w:rPr>
                <w:rFonts w:ascii="宋体" w:hAnsi="宋体" w:eastAsia="宋体" w:cs="宋体"/>
                <w:sz w:val="18"/>
                <w:szCs w:val="18"/>
              </w:rPr>
              <w:t>人民币普通股</w:t>
            </w:r>
          </w:p>
        </w:tc>
        <w:tc>
          <w:tcPr>
            <w:tcW w:w="1522" w:type="dxa"/>
            <w:gridSpan w:val="2"/>
            <w:vAlign w:val="center"/>
          </w:tcPr>
          <w:p w14:paraId="2AAE1B2B">
            <w:pPr>
              <w:spacing w:before="0" w:after="0" w:line="240" w:lineRule="exact"/>
              <w:jc w:val="right"/>
              <w:rPr>
                <w:rFonts w:ascii="宋体" w:hAnsi="宋体" w:eastAsia="宋体" w:cs="宋体"/>
                <w:sz w:val="18"/>
                <w:szCs w:val="18"/>
              </w:rPr>
            </w:pPr>
            <w:r>
              <w:rPr>
                <w:rFonts w:ascii="宋体" w:hAnsi="宋体" w:eastAsia="宋体" w:cs="宋体"/>
                <w:sz w:val="18"/>
                <w:szCs w:val="18"/>
              </w:rPr>
              <w:t>91,134,905.00</w:t>
            </w:r>
          </w:p>
        </w:tc>
      </w:tr>
      <w:tr w14:paraId="6398A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47" w:type="dxa"/>
            <w:gridSpan w:val="4"/>
            <w:vAlign w:val="center"/>
          </w:tcPr>
          <w:p w14:paraId="74E471E2">
            <w:pPr>
              <w:spacing w:before="0" w:after="0" w:line="240" w:lineRule="exact"/>
              <w:jc w:val="left"/>
              <w:rPr>
                <w:rFonts w:ascii="宋体" w:hAnsi="宋体" w:eastAsia="宋体" w:cs="宋体"/>
                <w:sz w:val="18"/>
                <w:szCs w:val="18"/>
              </w:rPr>
            </w:pPr>
            <w:r>
              <w:rPr>
                <w:rFonts w:ascii="宋体" w:hAnsi="宋体" w:eastAsia="宋体" w:cs="宋体"/>
                <w:sz w:val="18"/>
                <w:szCs w:val="18"/>
              </w:rPr>
              <w:t>深圳市核子基因科技有限公司</w:t>
            </w:r>
          </w:p>
        </w:tc>
        <w:tc>
          <w:tcPr>
            <w:tcW w:w="2938" w:type="dxa"/>
            <w:gridSpan w:val="3"/>
            <w:vAlign w:val="center"/>
          </w:tcPr>
          <w:p w14:paraId="0AEC82A4">
            <w:pPr>
              <w:spacing w:before="0" w:after="0" w:line="240" w:lineRule="exact"/>
              <w:jc w:val="right"/>
              <w:rPr>
                <w:rFonts w:ascii="宋体" w:hAnsi="宋体" w:eastAsia="宋体" w:cs="宋体"/>
                <w:sz w:val="18"/>
                <w:szCs w:val="18"/>
              </w:rPr>
            </w:pPr>
            <w:r>
              <w:rPr>
                <w:rFonts w:ascii="宋体" w:hAnsi="宋体" w:eastAsia="宋体" w:cs="宋体"/>
                <w:sz w:val="18"/>
                <w:szCs w:val="18"/>
              </w:rPr>
              <w:t>2,749,856.00</w:t>
            </w:r>
          </w:p>
        </w:tc>
        <w:tc>
          <w:tcPr>
            <w:tcW w:w="1377" w:type="dxa"/>
            <w:gridSpan w:val="2"/>
            <w:vAlign w:val="center"/>
          </w:tcPr>
          <w:p w14:paraId="1E96C95C">
            <w:pPr>
              <w:spacing w:before="0" w:after="0" w:line="240" w:lineRule="exact"/>
              <w:jc w:val="left"/>
              <w:rPr>
                <w:rFonts w:ascii="宋体" w:hAnsi="宋体" w:eastAsia="宋体" w:cs="宋体"/>
                <w:sz w:val="18"/>
                <w:szCs w:val="18"/>
              </w:rPr>
            </w:pPr>
            <w:r>
              <w:rPr>
                <w:rFonts w:ascii="宋体" w:hAnsi="宋体" w:eastAsia="宋体" w:cs="宋体"/>
                <w:sz w:val="18"/>
                <w:szCs w:val="18"/>
              </w:rPr>
              <w:t>人民币普通股</w:t>
            </w:r>
          </w:p>
        </w:tc>
        <w:tc>
          <w:tcPr>
            <w:tcW w:w="1522" w:type="dxa"/>
            <w:gridSpan w:val="2"/>
            <w:vAlign w:val="center"/>
          </w:tcPr>
          <w:p w14:paraId="29604632">
            <w:pPr>
              <w:spacing w:before="0" w:after="0" w:line="240" w:lineRule="exact"/>
              <w:jc w:val="right"/>
              <w:rPr>
                <w:rFonts w:ascii="宋体" w:hAnsi="宋体" w:eastAsia="宋体" w:cs="宋体"/>
                <w:sz w:val="18"/>
                <w:szCs w:val="18"/>
              </w:rPr>
            </w:pPr>
            <w:r>
              <w:rPr>
                <w:rFonts w:ascii="宋体" w:hAnsi="宋体" w:eastAsia="宋体" w:cs="宋体"/>
                <w:sz w:val="18"/>
                <w:szCs w:val="18"/>
              </w:rPr>
              <w:t>2,749,856.00</w:t>
            </w:r>
          </w:p>
        </w:tc>
      </w:tr>
      <w:tr w14:paraId="4A9D8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47" w:type="dxa"/>
            <w:gridSpan w:val="4"/>
            <w:vAlign w:val="center"/>
          </w:tcPr>
          <w:p w14:paraId="62AC33CB">
            <w:pPr>
              <w:spacing w:before="0" w:after="0" w:line="240" w:lineRule="exact"/>
              <w:jc w:val="left"/>
              <w:rPr>
                <w:rFonts w:ascii="宋体" w:hAnsi="宋体" w:eastAsia="宋体" w:cs="宋体"/>
                <w:sz w:val="18"/>
                <w:szCs w:val="18"/>
              </w:rPr>
            </w:pPr>
            <w:r>
              <w:rPr>
                <w:rFonts w:ascii="宋体" w:hAnsi="宋体" w:eastAsia="宋体" w:cs="宋体"/>
                <w:sz w:val="18"/>
                <w:szCs w:val="18"/>
              </w:rPr>
              <w:t>王莉</w:t>
            </w:r>
          </w:p>
        </w:tc>
        <w:tc>
          <w:tcPr>
            <w:tcW w:w="2938" w:type="dxa"/>
            <w:gridSpan w:val="3"/>
            <w:vAlign w:val="center"/>
          </w:tcPr>
          <w:p w14:paraId="6E3DA3CA">
            <w:pPr>
              <w:spacing w:before="0" w:after="0" w:line="240" w:lineRule="exact"/>
              <w:jc w:val="right"/>
              <w:rPr>
                <w:rFonts w:ascii="宋体" w:hAnsi="宋体" w:eastAsia="宋体" w:cs="宋体"/>
                <w:sz w:val="18"/>
                <w:szCs w:val="18"/>
              </w:rPr>
            </w:pPr>
            <w:r>
              <w:rPr>
                <w:rFonts w:ascii="宋体" w:hAnsi="宋体" w:eastAsia="宋体" w:cs="宋体"/>
                <w:sz w:val="18"/>
                <w:szCs w:val="18"/>
              </w:rPr>
              <w:t>1,727,672.00</w:t>
            </w:r>
          </w:p>
        </w:tc>
        <w:tc>
          <w:tcPr>
            <w:tcW w:w="1377" w:type="dxa"/>
            <w:gridSpan w:val="2"/>
            <w:vAlign w:val="center"/>
          </w:tcPr>
          <w:p w14:paraId="794624DD">
            <w:pPr>
              <w:spacing w:before="0" w:after="0" w:line="240" w:lineRule="exact"/>
              <w:jc w:val="left"/>
              <w:rPr>
                <w:rFonts w:ascii="宋体" w:hAnsi="宋体" w:eastAsia="宋体" w:cs="宋体"/>
                <w:sz w:val="18"/>
                <w:szCs w:val="18"/>
              </w:rPr>
            </w:pPr>
            <w:r>
              <w:rPr>
                <w:rFonts w:ascii="宋体" w:hAnsi="宋体" w:eastAsia="宋体" w:cs="宋体"/>
                <w:sz w:val="18"/>
                <w:szCs w:val="18"/>
              </w:rPr>
              <w:t>人民币普通股</w:t>
            </w:r>
          </w:p>
        </w:tc>
        <w:tc>
          <w:tcPr>
            <w:tcW w:w="1522" w:type="dxa"/>
            <w:gridSpan w:val="2"/>
            <w:vAlign w:val="center"/>
          </w:tcPr>
          <w:p w14:paraId="3289E975">
            <w:pPr>
              <w:spacing w:before="0" w:after="0" w:line="240" w:lineRule="exact"/>
              <w:jc w:val="right"/>
              <w:rPr>
                <w:rFonts w:ascii="宋体" w:hAnsi="宋体" w:eastAsia="宋体" w:cs="宋体"/>
                <w:sz w:val="18"/>
                <w:szCs w:val="18"/>
              </w:rPr>
            </w:pPr>
            <w:r>
              <w:rPr>
                <w:rFonts w:ascii="宋体" w:hAnsi="宋体" w:eastAsia="宋体" w:cs="宋体"/>
                <w:sz w:val="18"/>
                <w:szCs w:val="18"/>
              </w:rPr>
              <w:t>1,727,672.00</w:t>
            </w:r>
          </w:p>
        </w:tc>
      </w:tr>
      <w:tr w14:paraId="763E7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47" w:type="dxa"/>
            <w:gridSpan w:val="4"/>
            <w:vAlign w:val="center"/>
          </w:tcPr>
          <w:p w14:paraId="4EFDC6A2">
            <w:pPr>
              <w:spacing w:before="0" w:after="0" w:line="240" w:lineRule="exact"/>
              <w:jc w:val="left"/>
              <w:rPr>
                <w:rFonts w:ascii="宋体" w:hAnsi="宋体" w:eastAsia="宋体" w:cs="宋体"/>
                <w:sz w:val="18"/>
                <w:szCs w:val="18"/>
              </w:rPr>
            </w:pPr>
            <w:r>
              <w:rPr>
                <w:rFonts w:ascii="宋体" w:hAnsi="宋体" w:eastAsia="宋体" w:cs="宋体"/>
                <w:sz w:val="18"/>
                <w:szCs w:val="18"/>
              </w:rPr>
              <w:t>温丽霞</w:t>
            </w:r>
          </w:p>
        </w:tc>
        <w:tc>
          <w:tcPr>
            <w:tcW w:w="2938" w:type="dxa"/>
            <w:gridSpan w:val="3"/>
            <w:vAlign w:val="center"/>
          </w:tcPr>
          <w:p w14:paraId="0CDBC19D">
            <w:pPr>
              <w:spacing w:before="0" w:after="0" w:line="240" w:lineRule="exact"/>
              <w:jc w:val="right"/>
              <w:rPr>
                <w:rFonts w:ascii="宋体" w:hAnsi="宋体" w:eastAsia="宋体" w:cs="宋体"/>
                <w:sz w:val="18"/>
                <w:szCs w:val="18"/>
              </w:rPr>
            </w:pPr>
            <w:r>
              <w:rPr>
                <w:rFonts w:ascii="宋体" w:hAnsi="宋体" w:eastAsia="宋体" w:cs="宋体"/>
                <w:sz w:val="18"/>
                <w:szCs w:val="18"/>
              </w:rPr>
              <w:t>1,545,340.00</w:t>
            </w:r>
          </w:p>
        </w:tc>
        <w:tc>
          <w:tcPr>
            <w:tcW w:w="1377" w:type="dxa"/>
            <w:gridSpan w:val="2"/>
            <w:vAlign w:val="center"/>
          </w:tcPr>
          <w:p w14:paraId="6B54A304">
            <w:pPr>
              <w:spacing w:before="0" w:after="0" w:line="240" w:lineRule="exact"/>
              <w:jc w:val="left"/>
              <w:rPr>
                <w:rFonts w:ascii="宋体" w:hAnsi="宋体" w:eastAsia="宋体" w:cs="宋体"/>
                <w:sz w:val="18"/>
                <w:szCs w:val="18"/>
              </w:rPr>
            </w:pPr>
            <w:r>
              <w:rPr>
                <w:rFonts w:ascii="宋体" w:hAnsi="宋体" w:eastAsia="宋体" w:cs="宋体"/>
                <w:sz w:val="18"/>
                <w:szCs w:val="18"/>
              </w:rPr>
              <w:t>人民币普通股</w:t>
            </w:r>
          </w:p>
        </w:tc>
        <w:tc>
          <w:tcPr>
            <w:tcW w:w="1522" w:type="dxa"/>
            <w:gridSpan w:val="2"/>
            <w:vAlign w:val="center"/>
          </w:tcPr>
          <w:p w14:paraId="394362CA">
            <w:pPr>
              <w:spacing w:before="0" w:after="0" w:line="240" w:lineRule="exact"/>
              <w:jc w:val="right"/>
              <w:rPr>
                <w:rFonts w:ascii="宋体" w:hAnsi="宋体" w:eastAsia="宋体" w:cs="宋体"/>
                <w:sz w:val="18"/>
                <w:szCs w:val="18"/>
              </w:rPr>
            </w:pPr>
            <w:r>
              <w:rPr>
                <w:rFonts w:ascii="宋体" w:hAnsi="宋体" w:eastAsia="宋体" w:cs="宋体"/>
                <w:sz w:val="18"/>
                <w:szCs w:val="18"/>
              </w:rPr>
              <w:t>1,545,340.00</w:t>
            </w:r>
          </w:p>
        </w:tc>
      </w:tr>
      <w:tr w14:paraId="6C30A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47" w:type="dxa"/>
            <w:gridSpan w:val="4"/>
            <w:vAlign w:val="center"/>
          </w:tcPr>
          <w:p w14:paraId="54DB1657">
            <w:pPr>
              <w:spacing w:before="0" w:after="0" w:line="240" w:lineRule="exact"/>
              <w:jc w:val="left"/>
              <w:rPr>
                <w:rFonts w:ascii="宋体" w:hAnsi="宋体" w:eastAsia="宋体" w:cs="宋体"/>
                <w:sz w:val="18"/>
                <w:szCs w:val="18"/>
              </w:rPr>
            </w:pPr>
            <w:r>
              <w:rPr>
                <w:rFonts w:ascii="宋体" w:hAnsi="宋体" w:eastAsia="宋体" w:cs="宋体"/>
                <w:sz w:val="18"/>
                <w:szCs w:val="18"/>
              </w:rPr>
              <w:t>吴玮</w:t>
            </w:r>
          </w:p>
        </w:tc>
        <w:tc>
          <w:tcPr>
            <w:tcW w:w="2938" w:type="dxa"/>
            <w:gridSpan w:val="3"/>
            <w:vAlign w:val="center"/>
          </w:tcPr>
          <w:p w14:paraId="735054A3">
            <w:pPr>
              <w:spacing w:before="0" w:after="0" w:line="240" w:lineRule="exact"/>
              <w:jc w:val="right"/>
              <w:rPr>
                <w:rFonts w:ascii="宋体" w:hAnsi="宋体" w:eastAsia="宋体" w:cs="宋体"/>
                <w:sz w:val="18"/>
                <w:szCs w:val="18"/>
              </w:rPr>
            </w:pPr>
            <w:r>
              <w:rPr>
                <w:rFonts w:ascii="宋体" w:hAnsi="宋体" w:eastAsia="宋体" w:cs="宋体"/>
                <w:sz w:val="18"/>
                <w:szCs w:val="18"/>
              </w:rPr>
              <w:t>1,246,200.00</w:t>
            </w:r>
          </w:p>
        </w:tc>
        <w:tc>
          <w:tcPr>
            <w:tcW w:w="1377" w:type="dxa"/>
            <w:gridSpan w:val="2"/>
            <w:vAlign w:val="center"/>
          </w:tcPr>
          <w:p w14:paraId="4B33AAFC">
            <w:pPr>
              <w:spacing w:before="0" w:after="0" w:line="240" w:lineRule="exact"/>
              <w:jc w:val="left"/>
              <w:rPr>
                <w:rFonts w:ascii="宋体" w:hAnsi="宋体" w:eastAsia="宋体" w:cs="宋体"/>
                <w:sz w:val="18"/>
                <w:szCs w:val="18"/>
              </w:rPr>
            </w:pPr>
            <w:r>
              <w:rPr>
                <w:rFonts w:ascii="宋体" w:hAnsi="宋体" w:eastAsia="宋体" w:cs="宋体"/>
                <w:sz w:val="18"/>
                <w:szCs w:val="18"/>
              </w:rPr>
              <w:t>人民币普通股</w:t>
            </w:r>
          </w:p>
        </w:tc>
        <w:tc>
          <w:tcPr>
            <w:tcW w:w="1522" w:type="dxa"/>
            <w:gridSpan w:val="2"/>
            <w:vAlign w:val="center"/>
          </w:tcPr>
          <w:p w14:paraId="40B0BFE3">
            <w:pPr>
              <w:spacing w:before="0" w:after="0" w:line="240" w:lineRule="exact"/>
              <w:jc w:val="right"/>
              <w:rPr>
                <w:rFonts w:ascii="宋体" w:hAnsi="宋体" w:eastAsia="宋体" w:cs="宋体"/>
                <w:sz w:val="18"/>
                <w:szCs w:val="18"/>
              </w:rPr>
            </w:pPr>
            <w:r>
              <w:rPr>
                <w:rFonts w:ascii="宋体" w:hAnsi="宋体" w:eastAsia="宋体" w:cs="宋体"/>
                <w:sz w:val="18"/>
                <w:szCs w:val="18"/>
              </w:rPr>
              <w:t>1,246,200.00</w:t>
            </w:r>
          </w:p>
        </w:tc>
      </w:tr>
      <w:tr w14:paraId="72363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47" w:type="dxa"/>
            <w:gridSpan w:val="4"/>
            <w:vAlign w:val="center"/>
          </w:tcPr>
          <w:p w14:paraId="0BC662AD">
            <w:pPr>
              <w:spacing w:before="0" w:after="0" w:line="240" w:lineRule="exact"/>
              <w:jc w:val="left"/>
              <w:rPr>
                <w:rFonts w:ascii="宋体" w:hAnsi="宋体" w:eastAsia="宋体" w:cs="宋体"/>
                <w:sz w:val="18"/>
                <w:szCs w:val="18"/>
              </w:rPr>
            </w:pPr>
            <w:r>
              <w:rPr>
                <w:rFonts w:ascii="宋体" w:hAnsi="宋体" w:eastAsia="宋体" w:cs="宋体"/>
                <w:sz w:val="18"/>
                <w:szCs w:val="18"/>
              </w:rPr>
              <w:t>张莉</w:t>
            </w:r>
          </w:p>
        </w:tc>
        <w:tc>
          <w:tcPr>
            <w:tcW w:w="2938" w:type="dxa"/>
            <w:gridSpan w:val="3"/>
            <w:vAlign w:val="center"/>
          </w:tcPr>
          <w:p w14:paraId="15154DFA">
            <w:pPr>
              <w:spacing w:before="0" w:after="0" w:line="240" w:lineRule="exact"/>
              <w:jc w:val="right"/>
              <w:rPr>
                <w:rFonts w:ascii="宋体" w:hAnsi="宋体" w:eastAsia="宋体" w:cs="宋体"/>
                <w:sz w:val="18"/>
                <w:szCs w:val="18"/>
              </w:rPr>
            </w:pPr>
            <w:r>
              <w:rPr>
                <w:rFonts w:ascii="宋体" w:hAnsi="宋体" w:eastAsia="宋体" w:cs="宋体"/>
                <w:sz w:val="18"/>
                <w:szCs w:val="18"/>
              </w:rPr>
              <w:t>1,032,108.00</w:t>
            </w:r>
          </w:p>
        </w:tc>
        <w:tc>
          <w:tcPr>
            <w:tcW w:w="1377" w:type="dxa"/>
            <w:gridSpan w:val="2"/>
            <w:vAlign w:val="center"/>
          </w:tcPr>
          <w:p w14:paraId="4BE508BE">
            <w:pPr>
              <w:spacing w:before="0" w:after="0" w:line="240" w:lineRule="exact"/>
              <w:jc w:val="left"/>
              <w:rPr>
                <w:rFonts w:ascii="宋体" w:hAnsi="宋体" w:eastAsia="宋体" w:cs="宋体"/>
                <w:sz w:val="18"/>
                <w:szCs w:val="18"/>
              </w:rPr>
            </w:pPr>
            <w:r>
              <w:rPr>
                <w:rFonts w:ascii="宋体" w:hAnsi="宋体" w:eastAsia="宋体" w:cs="宋体"/>
                <w:sz w:val="18"/>
                <w:szCs w:val="18"/>
              </w:rPr>
              <w:t>人民币普通股</w:t>
            </w:r>
          </w:p>
        </w:tc>
        <w:tc>
          <w:tcPr>
            <w:tcW w:w="1522" w:type="dxa"/>
            <w:gridSpan w:val="2"/>
            <w:vAlign w:val="center"/>
          </w:tcPr>
          <w:p w14:paraId="6BB33441">
            <w:pPr>
              <w:spacing w:before="0" w:after="0" w:line="240" w:lineRule="exact"/>
              <w:jc w:val="right"/>
              <w:rPr>
                <w:rFonts w:ascii="宋体" w:hAnsi="宋体" w:eastAsia="宋体" w:cs="宋体"/>
                <w:sz w:val="18"/>
                <w:szCs w:val="18"/>
              </w:rPr>
            </w:pPr>
            <w:r>
              <w:rPr>
                <w:rFonts w:ascii="宋体" w:hAnsi="宋体" w:eastAsia="宋体" w:cs="宋体"/>
                <w:sz w:val="18"/>
                <w:szCs w:val="18"/>
              </w:rPr>
              <w:t>1,032,108.00</w:t>
            </w:r>
          </w:p>
        </w:tc>
      </w:tr>
      <w:tr w14:paraId="5AA1E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47" w:type="dxa"/>
            <w:gridSpan w:val="4"/>
            <w:vAlign w:val="center"/>
          </w:tcPr>
          <w:p w14:paraId="41A27D81">
            <w:pPr>
              <w:spacing w:before="0" w:after="0" w:line="240" w:lineRule="exact"/>
              <w:jc w:val="left"/>
              <w:rPr>
                <w:rFonts w:ascii="宋体" w:hAnsi="宋体" w:eastAsia="宋体" w:cs="宋体"/>
                <w:sz w:val="18"/>
                <w:szCs w:val="18"/>
              </w:rPr>
            </w:pPr>
            <w:r>
              <w:rPr>
                <w:rFonts w:ascii="宋体" w:hAnsi="宋体" w:eastAsia="宋体" w:cs="宋体"/>
                <w:sz w:val="18"/>
                <w:szCs w:val="18"/>
              </w:rPr>
              <w:t>刘英</w:t>
            </w:r>
          </w:p>
        </w:tc>
        <w:tc>
          <w:tcPr>
            <w:tcW w:w="2938" w:type="dxa"/>
            <w:gridSpan w:val="3"/>
            <w:vAlign w:val="center"/>
          </w:tcPr>
          <w:p w14:paraId="20EBCBC4">
            <w:pPr>
              <w:spacing w:before="0" w:after="0" w:line="240" w:lineRule="exact"/>
              <w:jc w:val="right"/>
              <w:rPr>
                <w:rFonts w:ascii="宋体" w:hAnsi="宋体" w:eastAsia="宋体" w:cs="宋体"/>
                <w:sz w:val="18"/>
                <w:szCs w:val="18"/>
              </w:rPr>
            </w:pPr>
            <w:r>
              <w:rPr>
                <w:rFonts w:ascii="宋体" w:hAnsi="宋体" w:eastAsia="宋体" w:cs="宋体"/>
                <w:sz w:val="18"/>
                <w:szCs w:val="18"/>
              </w:rPr>
              <w:t>1,015,900.00</w:t>
            </w:r>
          </w:p>
        </w:tc>
        <w:tc>
          <w:tcPr>
            <w:tcW w:w="1377" w:type="dxa"/>
            <w:gridSpan w:val="2"/>
            <w:vAlign w:val="center"/>
          </w:tcPr>
          <w:p w14:paraId="2E764A79">
            <w:pPr>
              <w:spacing w:before="0" w:after="0" w:line="240" w:lineRule="exact"/>
              <w:jc w:val="left"/>
              <w:rPr>
                <w:rFonts w:ascii="宋体" w:hAnsi="宋体" w:eastAsia="宋体" w:cs="宋体"/>
                <w:sz w:val="18"/>
                <w:szCs w:val="18"/>
              </w:rPr>
            </w:pPr>
            <w:r>
              <w:rPr>
                <w:rFonts w:ascii="宋体" w:hAnsi="宋体" w:eastAsia="宋体" w:cs="宋体"/>
                <w:sz w:val="18"/>
                <w:szCs w:val="18"/>
              </w:rPr>
              <w:t>人民币普通股</w:t>
            </w:r>
          </w:p>
        </w:tc>
        <w:tc>
          <w:tcPr>
            <w:tcW w:w="1522" w:type="dxa"/>
            <w:gridSpan w:val="2"/>
            <w:vAlign w:val="center"/>
          </w:tcPr>
          <w:p w14:paraId="6A666AC5">
            <w:pPr>
              <w:spacing w:before="0" w:after="0" w:line="240" w:lineRule="exact"/>
              <w:jc w:val="right"/>
              <w:rPr>
                <w:rFonts w:ascii="宋体" w:hAnsi="宋体" w:eastAsia="宋体" w:cs="宋体"/>
                <w:sz w:val="18"/>
                <w:szCs w:val="18"/>
              </w:rPr>
            </w:pPr>
            <w:r>
              <w:rPr>
                <w:rFonts w:ascii="宋体" w:hAnsi="宋体" w:eastAsia="宋体" w:cs="宋体"/>
                <w:sz w:val="18"/>
                <w:szCs w:val="18"/>
              </w:rPr>
              <w:t>1,015,900.00</w:t>
            </w:r>
          </w:p>
        </w:tc>
      </w:tr>
      <w:tr w14:paraId="469FF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47" w:type="dxa"/>
            <w:gridSpan w:val="4"/>
            <w:vAlign w:val="center"/>
          </w:tcPr>
          <w:p w14:paraId="14BEB0D0">
            <w:pPr>
              <w:spacing w:before="0" w:after="0" w:line="240" w:lineRule="exact"/>
              <w:jc w:val="left"/>
              <w:rPr>
                <w:rFonts w:ascii="宋体" w:hAnsi="宋体" w:eastAsia="宋体" w:cs="宋体"/>
                <w:sz w:val="18"/>
                <w:szCs w:val="18"/>
              </w:rPr>
            </w:pPr>
            <w:r>
              <w:rPr>
                <w:rFonts w:ascii="宋体" w:hAnsi="宋体" w:eastAsia="宋体" w:cs="宋体"/>
                <w:sz w:val="18"/>
                <w:szCs w:val="18"/>
              </w:rPr>
              <w:t>刘竹轩</w:t>
            </w:r>
          </w:p>
        </w:tc>
        <w:tc>
          <w:tcPr>
            <w:tcW w:w="2938" w:type="dxa"/>
            <w:gridSpan w:val="3"/>
            <w:vAlign w:val="center"/>
          </w:tcPr>
          <w:p w14:paraId="1785FECB">
            <w:pPr>
              <w:spacing w:before="0" w:after="0" w:line="240" w:lineRule="exact"/>
              <w:jc w:val="right"/>
              <w:rPr>
                <w:rFonts w:ascii="宋体" w:hAnsi="宋体" w:eastAsia="宋体" w:cs="宋体"/>
                <w:sz w:val="18"/>
                <w:szCs w:val="18"/>
              </w:rPr>
            </w:pPr>
            <w:r>
              <w:rPr>
                <w:rFonts w:ascii="宋体" w:hAnsi="宋体" w:eastAsia="宋体" w:cs="宋体"/>
                <w:sz w:val="18"/>
                <w:szCs w:val="18"/>
              </w:rPr>
              <w:t>930,000.00</w:t>
            </w:r>
          </w:p>
        </w:tc>
        <w:tc>
          <w:tcPr>
            <w:tcW w:w="1377" w:type="dxa"/>
            <w:gridSpan w:val="2"/>
            <w:vAlign w:val="center"/>
          </w:tcPr>
          <w:p w14:paraId="036F927A">
            <w:pPr>
              <w:spacing w:before="0" w:after="0" w:line="240" w:lineRule="exact"/>
              <w:jc w:val="left"/>
              <w:rPr>
                <w:rFonts w:ascii="宋体" w:hAnsi="宋体" w:eastAsia="宋体" w:cs="宋体"/>
                <w:sz w:val="18"/>
                <w:szCs w:val="18"/>
              </w:rPr>
            </w:pPr>
            <w:r>
              <w:rPr>
                <w:rFonts w:ascii="宋体" w:hAnsi="宋体" w:eastAsia="宋体" w:cs="宋体"/>
                <w:sz w:val="18"/>
                <w:szCs w:val="18"/>
              </w:rPr>
              <w:t>人民币普通股</w:t>
            </w:r>
          </w:p>
        </w:tc>
        <w:tc>
          <w:tcPr>
            <w:tcW w:w="1522" w:type="dxa"/>
            <w:gridSpan w:val="2"/>
            <w:vAlign w:val="center"/>
          </w:tcPr>
          <w:p w14:paraId="262BD938">
            <w:pPr>
              <w:spacing w:before="0" w:after="0" w:line="240" w:lineRule="exact"/>
              <w:jc w:val="right"/>
              <w:rPr>
                <w:rFonts w:ascii="宋体" w:hAnsi="宋体" w:eastAsia="宋体" w:cs="宋体"/>
                <w:sz w:val="18"/>
                <w:szCs w:val="18"/>
              </w:rPr>
            </w:pPr>
            <w:r>
              <w:rPr>
                <w:rFonts w:ascii="宋体" w:hAnsi="宋体" w:eastAsia="宋体" w:cs="宋体"/>
                <w:sz w:val="18"/>
                <w:szCs w:val="18"/>
              </w:rPr>
              <w:t>930,000.00</w:t>
            </w:r>
          </w:p>
        </w:tc>
      </w:tr>
      <w:tr w14:paraId="688F5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47" w:type="dxa"/>
            <w:gridSpan w:val="4"/>
            <w:vAlign w:val="center"/>
          </w:tcPr>
          <w:p w14:paraId="1AE90D97">
            <w:pPr>
              <w:spacing w:before="0" w:after="0" w:line="240" w:lineRule="exact"/>
              <w:jc w:val="left"/>
              <w:rPr>
                <w:rFonts w:ascii="宋体" w:hAnsi="宋体" w:eastAsia="宋体" w:cs="宋体"/>
                <w:sz w:val="18"/>
                <w:szCs w:val="18"/>
              </w:rPr>
            </w:pPr>
            <w:r>
              <w:rPr>
                <w:rFonts w:ascii="宋体" w:hAnsi="宋体" w:eastAsia="宋体" w:cs="宋体"/>
                <w:sz w:val="18"/>
                <w:szCs w:val="18"/>
              </w:rPr>
              <w:t>孙奥</w:t>
            </w:r>
          </w:p>
        </w:tc>
        <w:tc>
          <w:tcPr>
            <w:tcW w:w="2938" w:type="dxa"/>
            <w:gridSpan w:val="3"/>
            <w:vAlign w:val="center"/>
          </w:tcPr>
          <w:p w14:paraId="6BA03021">
            <w:pPr>
              <w:spacing w:before="0" w:after="0" w:line="240" w:lineRule="exact"/>
              <w:jc w:val="right"/>
              <w:rPr>
                <w:rFonts w:ascii="宋体" w:hAnsi="宋体" w:eastAsia="宋体" w:cs="宋体"/>
                <w:sz w:val="18"/>
                <w:szCs w:val="18"/>
              </w:rPr>
            </w:pPr>
            <w:r>
              <w:rPr>
                <w:rFonts w:ascii="宋体" w:hAnsi="宋体" w:eastAsia="宋体" w:cs="宋体"/>
                <w:sz w:val="18"/>
                <w:szCs w:val="18"/>
              </w:rPr>
              <w:t>791,170.00</w:t>
            </w:r>
          </w:p>
        </w:tc>
        <w:tc>
          <w:tcPr>
            <w:tcW w:w="1377" w:type="dxa"/>
            <w:gridSpan w:val="2"/>
            <w:vAlign w:val="center"/>
          </w:tcPr>
          <w:p w14:paraId="749CF338">
            <w:pPr>
              <w:spacing w:before="0" w:after="0" w:line="240" w:lineRule="exact"/>
              <w:jc w:val="left"/>
              <w:rPr>
                <w:rFonts w:ascii="宋体" w:hAnsi="宋体" w:eastAsia="宋体" w:cs="宋体"/>
                <w:sz w:val="18"/>
                <w:szCs w:val="18"/>
              </w:rPr>
            </w:pPr>
            <w:r>
              <w:rPr>
                <w:rFonts w:ascii="宋体" w:hAnsi="宋体" w:eastAsia="宋体" w:cs="宋体"/>
                <w:sz w:val="18"/>
                <w:szCs w:val="18"/>
              </w:rPr>
              <w:t>人民币普通股</w:t>
            </w:r>
          </w:p>
        </w:tc>
        <w:tc>
          <w:tcPr>
            <w:tcW w:w="1522" w:type="dxa"/>
            <w:gridSpan w:val="2"/>
            <w:vAlign w:val="center"/>
          </w:tcPr>
          <w:p w14:paraId="10BD196B">
            <w:pPr>
              <w:spacing w:before="0" w:after="0" w:line="240" w:lineRule="exact"/>
              <w:jc w:val="right"/>
              <w:rPr>
                <w:rFonts w:ascii="宋体" w:hAnsi="宋体" w:eastAsia="宋体" w:cs="宋体"/>
                <w:sz w:val="18"/>
                <w:szCs w:val="18"/>
              </w:rPr>
            </w:pPr>
            <w:r>
              <w:rPr>
                <w:rFonts w:ascii="宋体" w:hAnsi="宋体" w:eastAsia="宋体" w:cs="宋体"/>
                <w:sz w:val="18"/>
                <w:szCs w:val="18"/>
              </w:rPr>
              <w:t>791,170.00</w:t>
            </w:r>
          </w:p>
        </w:tc>
      </w:tr>
      <w:tr w14:paraId="3BD34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47" w:type="dxa"/>
            <w:gridSpan w:val="4"/>
            <w:vAlign w:val="center"/>
          </w:tcPr>
          <w:p w14:paraId="00C663F5">
            <w:pPr>
              <w:spacing w:before="0" w:after="0" w:line="240" w:lineRule="exact"/>
              <w:jc w:val="left"/>
              <w:rPr>
                <w:rFonts w:ascii="宋体" w:hAnsi="宋体" w:eastAsia="宋体" w:cs="宋体"/>
                <w:sz w:val="18"/>
                <w:szCs w:val="18"/>
              </w:rPr>
            </w:pPr>
            <w:r>
              <w:rPr>
                <w:rFonts w:ascii="宋体" w:hAnsi="宋体" w:eastAsia="宋体" w:cs="宋体"/>
                <w:sz w:val="18"/>
                <w:szCs w:val="18"/>
              </w:rPr>
              <w:t>山东康桥投资集团有限公司</w:t>
            </w:r>
          </w:p>
        </w:tc>
        <w:tc>
          <w:tcPr>
            <w:tcW w:w="2938" w:type="dxa"/>
            <w:gridSpan w:val="3"/>
            <w:vAlign w:val="center"/>
          </w:tcPr>
          <w:p w14:paraId="4D827A23">
            <w:pPr>
              <w:spacing w:before="0" w:after="0" w:line="240" w:lineRule="exact"/>
              <w:jc w:val="right"/>
              <w:rPr>
                <w:rFonts w:ascii="宋体" w:hAnsi="宋体" w:eastAsia="宋体" w:cs="宋体"/>
                <w:sz w:val="18"/>
                <w:szCs w:val="18"/>
              </w:rPr>
            </w:pPr>
            <w:r>
              <w:rPr>
                <w:rFonts w:ascii="宋体" w:hAnsi="宋体" w:eastAsia="宋体" w:cs="宋体"/>
                <w:sz w:val="18"/>
                <w:szCs w:val="18"/>
              </w:rPr>
              <w:t>781,253.00</w:t>
            </w:r>
          </w:p>
        </w:tc>
        <w:tc>
          <w:tcPr>
            <w:tcW w:w="1377" w:type="dxa"/>
            <w:gridSpan w:val="2"/>
            <w:vAlign w:val="center"/>
          </w:tcPr>
          <w:p w14:paraId="79445DAA">
            <w:pPr>
              <w:spacing w:before="0" w:after="0" w:line="240" w:lineRule="exact"/>
              <w:jc w:val="left"/>
              <w:rPr>
                <w:rFonts w:ascii="宋体" w:hAnsi="宋体" w:eastAsia="宋体" w:cs="宋体"/>
                <w:sz w:val="18"/>
                <w:szCs w:val="18"/>
              </w:rPr>
            </w:pPr>
            <w:r>
              <w:rPr>
                <w:rFonts w:ascii="宋体" w:hAnsi="宋体" w:eastAsia="宋体" w:cs="宋体"/>
                <w:sz w:val="18"/>
                <w:szCs w:val="18"/>
              </w:rPr>
              <w:t>人民币普通股</w:t>
            </w:r>
          </w:p>
        </w:tc>
        <w:tc>
          <w:tcPr>
            <w:tcW w:w="1522" w:type="dxa"/>
            <w:gridSpan w:val="2"/>
            <w:vAlign w:val="center"/>
          </w:tcPr>
          <w:p w14:paraId="3453DEFA">
            <w:pPr>
              <w:spacing w:before="0" w:after="0" w:line="240" w:lineRule="exact"/>
              <w:jc w:val="right"/>
              <w:rPr>
                <w:rFonts w:ascii="宋体" w:hAnsi="宋体" w:eastAsia="宋体" w:cs="宋体"/>
                <w:sz w:val="18"/>
                <w:szCs w:val="18"/>
              </w:rPr>
            </w:pPr>
            <w:r>
              <w:rPr>
                <w:rFonts w:ascii="宋体" w:hAnsi="宋体" w:eastAsia="宋体" w:cs="宋体"/>
                <w:sz w:val="18"/>
                <w:szCs w:val="18"/>
              </w:rPr>
              <w:t>781,253.00</w:t>
            </w:r>
          </w:p>
        </w:tc>
      </w:tr>
      <w:tr w14:paraId="471DD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47" w:type="dxa"/>
            <w:gridSpan w:val="4"/>
            <w:shd w:val="clear" w:color="auto" w:fill="D3D3D3"/>
            <w:vAlign w:val="center"/>
          </w:tcPr>
          <w:p w14:paraId="027DC4C3">
            <w:pPr>
              <w:spacing w:before="0" w:after="0" w:line="240" w:lineRule="exact"/>
              <w:jc w:val="left"/>
              <w:rPr>
                <w:rFonts w:ascii="宋体" w:hAnsi="宋体" w:eastAsia="宋体" w:cs="宋体"/>
                <w:sz w:val="18"/>
                <w:szCs w:val="18"/>
              </w:rPr>
            </w:pPr>
            <w:r>
              <w:rPr>
                <w:rFonts w:ascii="宋体" w:hAnsi="宋体" w:eastAsia="宋体" w:cs="宋体"/>
                <w:sz w:val="18"/>
                <w:szCs w:val="18"/>
              </w:rPr>
              <w:t>上述股东关联关系或一致行动的说明</w:t>
            </w:r>
          </w:p>
        </w:tc>
        <w:tc>
          <w:tcPr>
            <w:tcW w:w="5837" w:type="dxa"/>
            <w:gridSpan w:val="7"/>
            <w:vAlign w:val="center"/>
          </w:tcPr>
          <w:p w14:paraId="5F62C182">
            <w:pPr>
              <w:spacing w:before="0" w:after="0" w:line="240" w:lineRule="exact"/>
              <w:jc w:val="left"/>
              <w:rPr>
                <w:rFonts w:ascii="宋体" w:hAnsi="宋体" w:eastAsia="宋体" w:cs="宋体"/>
                <w:sz w:val="18"/>
                <w:szCs w:val="18"/>
              </w:rPr>
            </w:pPr>
            <w:r>
              <w:rPr>
                <w:rFonts w:ascii="宋体" w:hAnsi="宋体" w:eastAsia="宋体" w:cs="宋体"/>
                <w:sz w:val="18"/>
                <w:szCs w:val="18"/>
              </w:rPr>
              <w:t>公司未知上述股东之间是否存在关联，也未知是否存在一致行动关系。</w:t>
            </w:r>
          </w:p>
        </w:tc>
      </w:tr>
      <w:tr w14:paraId="4B4DE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947" w:type="dxa"/>
            <w:gridSpan w:val="4"/>
            <w:shd w:val="clear" w:color="auto" w:fill="D3D3D3"/>
            <w:vAlign w:val="center"/>
          </w:tcPr>
          <w:p w14:paraId="5CC8FC1F">
            <w:pPr>
              <w:spacing w:before="0" w:after="0" w:line="240" w:lineRule="exact"/>
              <w:jc w:val="left"/>
              <w:rPr>
                <w:rFonts w:ascii="宋体" w:hAnsi="宋体" w:eastAsia="宋体" w:cs="宋体"/>
                <w:sz w:val="18"/>
                <w:szCs w:val="18"/>
              </w:rPr>
            </w:pPr>
            <w:r>
              <w:rPr>
                <w:rFonts w:ascii="宋体" w:hAnsi="宋体" w:eastAsia="宋体" w:cs="宋体"/>
                <w:sz w:val="18"/>
                <w:szCs w:val="18"/>
              </w:rPr>
              <w:t>前10名股东参与融资融券业务情况说明</w:t>
            </w:r>
          </w:p>
        </w:tc>
        <w:tc>
          <w:tcPr>
            <w:tcW w:w="5837" w:type="dxa"/>
            <w:gridSpan w:val="7"/>
            <w:vAlign w:val="center"/>
          </w:tcPr>
          <w:p w14:paraId="6DEEB161">
            <w:pPr>
              <w:spacing w:before="0" w:after="0" w:line="240" w:lineRule="exact"/>
              <w:jc w:val="left"/>
              <w:rPr>
                <w:rFonts w:ascii="宋体" w:hAnsi="宋体" w:eastAsia="宋体" w:cs="宋体"/>
                <w:sz w:val="18"/>
                <w:szCs w:val="18"/>
              </w:rPr>
            </w:pPr>
            <w:r>
              <w:rPr>
                <w:rFonts w:ascii="宋体" w:hAnsi="宋体" w:eastAsia="宋体" w:cs="宋体"/>
                <w:sz w:val="18"/>
                <w:szCs w:val="18"/>
              </w:rPr>
              <w:t>刘英通过普通证券账户持有515,900股，通过信用交易担保证券账户持有500,000股。</w:t>
            </w:r>
          </w:p>
        </w:tc>
      </w:tr>
    </w:tbl>
    <w:p w14:paraId="00DFB55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eastAsia="宋体" w:cs="宋体"/>
          <w:sz w:val="18"/>
          <w:szCs w:val="18"/>
        </w:rPr>
      </w:pPr>
      <w:r>
        <w:rPr>
          <w:rFonts w:ascii="宋体" w:hAnsi="宋体" w:eastAsia="宋体" w:cs="宋体"/>
          <w:sz w:val="18"/>
          <w:szCs w:val="18"/>
        </w:rPr>
        <w:t>持股5%以上股东、前10名股东及前10名无限售流通股股东参与转融通业务出借股份情况</w:t>
      </w:r>
    </w:p>
    <w:p w14:paraId="49084F0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545EB40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eastAsia="宋体" w:cs="宋体"/>
          <w:sz w:val="18"/>
          <w:szCs w:val="18"/>
        </w:rPr>
      </w:pPr>
      <w:r>
        <w:rPr>
          <w:rFonts w:ascii="宋体" w:hAnsi="宋体" w:eastAsia="宋体" w:cs="宋体"/>
          <w:sz w:val="18"/>
          <w:szCs w:val="18"/>
        </w:rPr>
        <w:t>前10名股东及前10名无限售流通股股东因转融通出借/归还原因导致较上期发生变化</w:t>
      </w:r>
    </w:p>
    <w:p w14:paraId="7A2ABDD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02ADE6CF">
      <w:pPr>
        <w:keepNext/>
        <w:keepLines/>
        <w:spacing w:before="300" w:after="300" w:line="280" w:lineRule="exact"/>
        <w:jc w:val="left"/>
        <w:outlineLvl w:val="1"/>
        <w:rPr>
          <w:rFonts w:ascii="宋体" w:hAnsi="宋体" w:eastAsia="宋体" w:cs="宋体"/>
          <w:b/>
          <w:bCs/>
          <w:sz w:val="21"/>
          <w:szCs w:val="21"/>
        </w:rPr>
      </w:pPr>
      <w:bookmarkStart w:id="6" w:name="_Toc988895"/>
      <w:r>
        <w:rPr>
          <w:rFonts w:ascii="宋体" w:hAnsi="宋体" w:eastAsia="宋体" w:cs="宋体"/>
          <w:b/>
          <w:bCs/>
          <w:sz w:val="21"/>
          <w:szCs w:val="21"/>
        </w:rPr>
        <w:t>（二）公司优先股股东总数及前10名优先股股东持股情况表</w:t>
      </w:r>
      <w:bookmarkEnd w:id="6"/>
    </w:p>
    <w:p w14:paraId="6EC74C9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66380E21">
      <w:pPr>
        <w:keepNext/>
        <w:keepLines/>
        <w:spacing w:before="300" w:after="300" w:line="320" w:lineRule="exact"/>
        <w:jc w:val="left"/>
        <w:outlineLvl w:val="0"/>
        <w:rPr>
          <w:rFonts w:ascii="宋体" w:hAnsi="宋体" w:eastAsia="宋体" w:cs="宋体"/>
          <w:b/>
          <w:bCs/>
          <w:sz w:val="24"/>
          <w:szCs w:val="24"/>
        </w:rPr>
      </w:pPr>
      <w:bookmarkStart w:id="7" w:name="_Toc988896"/>
      <w:r>
        <w:rPr>
          <w:rFonts w:ascii="宋体" w:hAnsi="宋体" w:eastAsia="宋体" w:cs="宋体"/>
          <w:b/>
          <w:bCs/>
          <w:sz w:val="24"/>
          <w:szCs w:val="24"/>
        </w:rPr>
        <w:t>三、其他重要事项</w:t>
      </w:r>
      <w:bookmarkEnd w:id="7"/>
    </w:p>
    <w:p w14:paraId="70D8FFB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14088151">
      <w:pPr>
        <w:keepNext/>
        <w:keepLines/>
        <w:spacing w:before="300" w:after="300" w:line="320" w:lineRule="exact"/>
        <w:jc w:val="left"/>
        <w:outlineLvl w:val="0"/>
        <w:rPr>
          <w:rFonts w:ascii="宋体" w:hAnsi="宋体" w:eastAsia="宋体" w:cs="宋体"/>
          <w:b/>
          <w:bCs/>
          <w:sz w:val="24"/>
          <w:szCs w:val="24"/>
        </w:rPr>
      </w:pPr>
      <w:bookmarkStart w:id="8" w:name="_Toc988897"/>
      <w:r>
        <w:rPr>
          <w:rFonts w:ascii="宋体" w:hAnsi="宋体" w:eastAsia="宋体" w:cs="宋体"/>
          <w:b/>
          <w:bCs/>
          <w:sz w:val="24"/>
          <w:szCs w:val="24"/>
        </w:rPr>
        <w:t>四、季度财务报表</w:t>
      </w:r>
      <w:bookmarkEnd w:id="8"/>
    </w:p>
    <w:p w14:paraId="66CF50BD">
      <w:pPr>
        <w:keepNext/>
        <w:keepLines/>
        <w:spacing w:before="300" w:after="300" w:line="280" w:lineRule="exact"/>
        <w:jc w:val="left"/>
        <w:outlineLvl w:val="1"/>
        <w:rPr>
          <w:rFonts w:ascii="宋体" w:hAnsi="宋体" w:eastAsia="宋体" w:cs="宋体"/>
          <w:b/>
          <w:bCs/>
          <w:sz w:val="21"/>
          <w:szCs w:val="21"/>
        </w:rPr>
      </w:pPr>
      <w:bookmarkStart w:id="9" w:name="_Toc988898"/>
      <w:r>
        <w:rPr>
          <w:rFonts w:ascii="宋体" w:hAnsi="宋体" w:eastAsia="宋体" w:cs="宋体"/>
          <w:b/>
          <w:bCs/>
          <w:sz w:val="21"/>
          <w:szCs w:val="21"/>
        </w:rPr>
        <w:t>（一）财务报表</w:t>
      </w:r>
      <w:bookmarkEnd w:id="9"/>
    </w:p>
    <w:p w14:paraId="041595F9">
      <w:pPr>
        <w:keepNext/>
        <w:keepLines/>
        <w:spacing w:before="300" w:after="300" w:line="280" w:lineRule="exact"/>
        <w:jc w:val="left"/>
        <w:outlineLvl w:val="2"/>
        <w:rPr>
          <w:rFonts w:ascii="宋体" w:hAnsi="宋体" w:eastAsia="宋体" w:cs="宋体"/>
          <w:b/>
          <w:bCs/>
          <w:sz w:val="21"/>
          <w:szCs w:val="21"/>
        </w:rPr>
      </w:pPr>
      <w:bookmarkStart w:id="10" w:name="_Toc988899"/>
      <w:r>
        <w:rPr>
          <w:rFonts w:ascii="宋体" w:hAnsi="宋体" w:eastAsia="宋体" w:cs="宋体"/>
          <w:b/>
          <w:bCs/>
          <w:sz w:val="21"/>
          <w:szCs w:val="21"/>
        </w:rPr>
        <w:t>1、合并资产负债表</w:t>
      </w:r>
      <w:bookmarkEnd w:id="10"/>
    </w:p>
    <w:p w14:paraId="104C7C17">
      <w:pPr>
        <w:spacing w:before="0" w:after="0" w:line="240" w:lineRule="exact"/>
        <w:jc w:val="left"/>
        <w:rPr>
          <w:rFonts w:ascii="宋体" w:hAnsi="宋体" w:eastAsia="宋体" w:cs="宋体"/>
          <w:sz w:val="18"/>
          <w:szCs w:val="18"/>
        </w:rPr>
      </w:pPr>
      <w:r>
        <w:rPr>
          <w:rFonts w:ascii="宋体" w:hAnsi="宋体" w:eastAsia="宋体" w:cs="宋体"/>
          <w:sz w:val="18"/>
          <w:szCs w:val="18"/>
        </w:rPr>
        <w:t>编制单位：青岛食品股份有限公司</w:t>
      </w:r>
    </w:p>
    <w:p w14:paraId="0B436D95">
      <w:pPr>
        <w:spacing w:before="0" w:after="0" w:line="240" w:lineRule="exact"/>
        <w:jc w:val="center"/>
        <w:rPr>
          <w:rFonts w:ascii="宋体" w:hAnsi="宋体" w:eastAsia="宋体" w:cs="宋体"/>
          <w:sz w:val="18"/>
          <w:szCs w:val="18"/>
        </w:rPr>
      </w:pPr>
      <w:r>
        <w:rPr>
          <w:rFonts w:ascii="宋体" w:hAnsi="宋体" w:eastAsia="宋体" w:cs="宋体"/>
          <w:sz w:val="18"/>
          <w:szCs w:val="18"/>
        </w:rPr>
        <w:t>2025年03月31日</w:t>
      </w:r>
    </w:p>
    <w:p w14:paraId="7167B39A">
      <w:pPr>
        <w:spacing w:before="0" w:after="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83"/>
        <w:gridCol w:w="3284"/>
        <w:gridCol w:w="3284"/>
      </w:tblGrid>
      <w:tr w14:paraId="2F76B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66" w:type="pct"/>
            <w:shd w:val="clear" w:color="auto" w:fill="D3D3D3"/>
            <w:vAlign w:val="center"/>
          </w:tcPr>
          <w:p w14:paraId="093E2C25">
            <w:pPr>
              <w:spacing w:before="0" w:after="0" w:line="240" w:lineRule="exact"/>
              <w:jc w:val="center"/>
              <w:rPr>
                <w:rFonts w:ascii="宋体" w:hAnsi="宋体" w:eastAsia="宋体" w:cs="宋体"/>
                <w:sz w:val="18"/>
                <w:szCs w:val="18"/>
              </w:rPr>
            </w:pPr>
            <w:r>
              <w:rPr>
                <w:rFonts w:ascii="宋体" w:hAnsi="宋体" w:eastAsia="宋体" w:cs="宋体"/>
                <w:sz w:val="18"/>
                <w:szCs w:val="18"/>
              </w:rPr>
              <w:t>项目</w:t>
            </w:r>
          </w:p>
        </w:tc>
        <w:tc>
          <w:tcPr>
            <w:tcW w:w="1666" w:type="pct"/>
            <w:shd w:val="clear" w:color="auto" w:fill="D3D3D3"/>
            <w:vAlign w:val="center"/>
          </w:tcPr>
          <w:p w14:paraId="1A68A4EC">
            <w:pPr>
              <w:spacing w:before="0" w:after="0" w:line="240" w:lineRule="exact"/>
              <w:jc w:val="center"/>
              <w:rPr>
                <w:rFonts w:ascii="宋体" w:hAnsi="宋体" w:eastAsia="宋体" w:cs="宋体"/>
                <w:sz w:val="18"/>
                <w:szCs w:val="18"/>
              </w:rPr>
            </w:pPr>
            <w:r>
              <w:rPr>
                <w:rFonts w:ascii="宋体" w:hAnsi="宋体" w:eastAsia="宋体" w:cs="宋体"/>
                <w:sz w:val="18"/>
                <w:szCs w:val="18"/>
              </w:rPr>
              <w:t>期末余额</w:t>
            </w:r>
          </w:p>
        </w:tc>
        <w:tc>
          <w:tcPr>
            <w:tcW w:w="1666" w:type="pct"/>
            <w:shd w:val="clear" w:color="auto" w:fill="D3D3D3"/>
            <w:vAlign w:val="center"/>
          </w:tcPr>
          <w:p w14:paraId="757E0141">
            <w:pPr>
              <w:spacing w:before="0" w:after="0" w:line="240" w:lineRule="exact"/>
              <w:jc w:val="center"/>
              <w:rPr>
                <w:rFonts w:ascii="宋体" w:hAnsi="宋体" w:eastAsia="宋体" w:cs="宋体"/>
                <w:sz w:val="18"/>
                <w:szCs w:val="18"/>
              </w:rPr>
            </w:pPr>
            <w:r>
              <w:rPr>
                <w:rFonts w:ascii="宋体" w:hAnsi="宋体" w:eastAsia="宋体" w:cs="宋体"/>
                <w:sz w:val="18"/>
                <w:szCs w:val="18"/>
              </w:rPr>
              <w:t>期初余额</w:t>
            </w:r>
          </w:p>
        </w:tc>
      </w:tr>
      <w:tr w14:paraId="44462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66" w:type="pct"/>
            <w:shd w:val="clear" w:color="auto" w:fill="D3D3D3"/>
            <w:vAlign w:val="center"/>
          </w:tcPr>
          <w:p w14:paraId="4AE921B0">
            <w:pPr>
              <w:spacing w:before="0" w:after="0" w:line="240" w:lineRule="exact"/>
              <w:jc w:val="left"/>
              <w:rPr>
                <w:rFonts w:ascii="宋体" w:hAnsi="宋体" w:eastAsia="宋体" w:cs="宋体"/>
                <w:sz w:val="18"/>
                <w:szCs w:val="18"/>
              </w:rPr>
            </w:pPr>
            <w:r>
              <w:rPr>
                <w:rFonts w:ascii="宋体" w:hAnsi="宋体" w:eastAsia="宋体" w:cs="宋体"/>
                <w:sz w:val="18"/>
                <w:szCs w:val="18"/>
              </w:rPr>
              <w:t>流动资产：</w:t>
            </w:r>
          </w:p>
        </w:tc>
        <w:tc>
          <w:tcPr>
            <w:tcW w:w="1666" w:type="pct"/>
            <w:shd w:val="clear" w:color="auto" w:fill="D3D3D3"/>
            <w:vAlign w:val="center"/>
          </w:tcPr>
          <w:p w14:paraId="69A55C50"/>
        </w:tc>
        <w:tc>
          <w:tcPr>
            <w:tcW w:w="1666" w:type="pct"/>
            <w:shd w:val="clear" w:color="auto" w:fill="D3D3D3"/>
            <w:vAlign w:val="center"/>
          </w:tcPr>
          <w:p w14:paraId="51F920DB"/>
        </w:tc>
      </w:tr>
      <w:tr w14:paraId="61DFB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66" w:type="pct"/>
            <w:shd w:val="clear" w:color="auto" w:fill="D3D3D3"/>
            <w:vAlign w:val="center"/>
          </w:tcPr>
          <w:p w14:paraId="65811A0B">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货币资金</w:t>
            </w:r>
          </w:p>
        </w:tc>
        <w:tc>
          <w:tcPr>
            <w:tcW w:w="1666" w:type="pct"/>
            <w:vAlign w:val="center"/>
          </w:tcPr>
          <w:p w14:paraId="58A2BF25">
            <w:pPr>
              <w:spacing w:before="0" w:after="0" w:line="240" w:lineRule="exact"/>
              <w:jc w:val="right"/>
              <w:rPr>
                <w:rFonts w:ascii="宋体" w:hAnsi="宋体" w:eastAsia="宋体" w:cs="宋体"/>
                <w:sz w:val="18"/>
                <w:szCs w:val="18"/>
              </w:rPr>
            </w:pPr>
            <w:r>
              <w:rPr>
                <w:rFonts w:ascii="宋体" w:hAnsi="宋体" w:eastAsia="宋体" w:cs="宋体"/>
                <w:sz w:val="18"/>
                <w:szCs w:val="18"/>
              </w:rPr>
              <w:t>225,063,168.49</w:t>
            </w:r>
          </w:p>
        </w:tc>
        <w:tc>
          <w:tcPr>
            <w:tcW w:w="1666" w:type="pct"/>
            <w:vAlign w:val="center"/>
          </w:tcPr>
          <w:p w14:paraId="046A4A65">
            <w:pPr>
              <w:spacing w:before="0" w:after="0" w:line="240" w:lineRule="exact"/>
              <w:jc w:val="right"/>
              <w:rPr>
                <w:rFonts w:ascii="宋体" w:hAnsi="宋体" w:eastAsia="宋体" w:cs="宋体"/>
                <w:sz w:val="18"/>
                <w:szCs w:val="18"/>
              </w:rPr>
            </w:pPr>
            <w:r>
              <w:rPr>
                <w:rFonts w:ascii="宋体" w:hAnsi="宋体" w:eastAsia="宋体" w:cs="宋体"/>
                <w:sz w:val="18"/>
                <w:szCs w:val="18"/>
              </w:rPr>
              <w:t>239,451,835.01</w:t>
            </w:r>
          </w:p>
        </w:tc>
      </w:tr>
      <w:tr w14:paraId="2B363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66" w:type="pct"/>
            <w:shd w:val="clear" w:color="auto" w:fill="D3D3D3"/>
            <w:vAlign w:val="center"/>
          </w:tcPr>
          <w:p w14:paraId="696576B7">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结算备付金</w:t>
            </w:r>
          </w:p>
        </w:tc>
        <w:tc>
          <w:tcPr>
            <w:tcW w:w="1666" w:type="pct"/>
            <w:vAlign w:val="center"/>
          </w:tcPr>
          <w:p w14:paraId="6BB2ABE2">
            <w:pPr>
              <w:spacing w:before="0" w:after="0" w:line="240" w:lineRule="exact"/>
              <w:jc w:val="right"/>
              <w:rPr>
                <w:rFonts w:ascii="宋体" w:hAnsi="宋体" w:eastAsia="宋体" w:cs="宋体"/>
                <w:sz w:val="18"/>
                <w:szCs w:val="18"/>
              </w:rPr>
            </w:pPr>
          </w:p>
        </w:tc>
        <w:tc>
          <w:tcPr>
            <w:tcW w:w="1666" w:type="pct"/>
            <w:vAlign w:val="center"/>
          </w:tcPr>
          <w:p w14:paraId="10FAE12B">
            <w:pPr>
              <w:spacing w:before="0" w:after="0" w:line="240" w:lineRule="exact"/>
              <w:jc w:val="right"/>
              <w:rPr>
                <w:rFonts w:ascii="宋体" w:hAnsi="宋体" w:eastAsia="宋体" w:cs="宋体"/>
                <w:sz w:val="18"/>
                <w:szCs w:val="18"/>
              </w:rPr>
            </w:pPr>
          </w:p>
        </w:tc>
      </w:tr>
      <w:tr w14:paraId="1D455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66" w:type="pct"/>
            <w:shd w:val="clear" w:color="auto" w:fill="D3D3D3"/>
            <w:vAlign w:val="center"/>
          </w:tcPr>
          <w:p w14:paraId="5C8EC99B">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拆出资金</w:t>
            </w:r>
          </w:p>
        </w:tc>
        <w:tc>
          <w:tcPr>
            <w:tcW w:w="1666" w:type="pct"/>
            <w:vAlign w:val="center"/>
          </w:tcPr>
          <w:p w14:paraId="114345CD">
            <w:pPr>
              <w:spacing w:before="0" w:after="0" w:line="240" w:lineRule="exact"/>
              <w:jc w:val="right"/>
              <w:rPr>
                <w:rFonts w:ascii="宋体" w:hAnsi="宋体" w:eastAsia="宋体" w:cs="宋体"/>
                <w:sz w:val="18"/>
                <w:szCs w:val="18"/>
              </w:rPr>
            </w:pPr>
          </w:p>
        </w:tc>
        <w:tc>
          <w:tcPr>
            <w:tcW w:w="1666" w:type="pct"/>
            <w:vAlign w:val="center"/>
          </w:tcPr>
          <w:p w14:paraId="25BD6C44">
            <w:pPr>
              <w:spacing w:before="0" w:after="0" w:line="240" w:lineRule="exact"/>
              <w:jc w:val="right"/>
              <w:rPr>
                <w:rFonts w:ascii="宋体" w:hAnsi="宋体" w:eastAsia="宋体" w:cs="宋体"/>
                <w:sz w:val="18"/>
                <w:szCs w:val="18"/>
              </w:rPr>
            </w:pPr>
          </w:p>
        </w:tc>
      </w:tr>
      <w:tr w14:paraId="1E20F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66" w:type="pct"/>
            <w:shd w:val="clear" w:color="auto" w:fill="D3D3D3"/>
            <w:vAlign w:val="center"/>
          </w:tcPr>
          <w:p w14:paraId="09D6B954">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交易性金融资产</w:t>
            </w:r>
          </w:p>
        </w:tc>
        <w:tc>
          <w:tcPr>
            <w:tcW w:w="1666" w:type="pct"/>
            <w:vAlign w:val="center"/>
          </w:tcPr>
          <w:p w14:paraId="1D86063D">
            <w:pPr>
              <w:spacing w:before="0" w:after="0" w:line="240" w:lineRule="exact"/>
              <w:jc w:val="right"/>
              <w:rPr>
                <w:rFonts w:ascii="宋体" w:hAnsi="宋体" w:eastAsia="宋体" w:cs="宋体"/>
                <w:sz w:val="18"/>
                <w:szCs w:val="18"/>
              </w:rPr>
            </w:pPr>
            <w:r>
              <w:rPr>
                <w:rFonts w:ascii="宋体" w:hAnsi="宋体" w:eastAsia="宋体" w:cs="宋体"/>
                <w:sz w:val="18"/>
                <w:szCs w:val="18"/>
              </w:rPr>
              <w:t>415,607,612.33</w:t>
            </w:r>
          </w:p>
        </w:tc>
        <w:tc>
          <w:tcPr>
            <w:tcW w:w="1666" w:type="pct"/>
            <w:vAlign w:val="center"/>
          </w:tcPr>
          <w:p w14:paraId="0BAC9314">
            <w:pPr>
              <w:spacing w:before="0" w:after="0" w:line="240" w:lineRule="exact"/>
              <w:jc w:val="right"/>
              <w:rPr>
                <w:rFonts w:ascii="宋体" w:hAnsi="宋体" w:eastAsia="宋体" w:cs="宋体"/>
                <w:sz w:val="18"/>
                <w:szCs w:val="18"/>
              </w:rPr>
            </w:pPr>
            <w:r>
              <w:rPr>
                <w:rFonts w:ascii="宋体" w:hAnsi="宋体" w:eastAsia="宋体" w:cs="宋体"/>
                <w:sz w:val="18"/>
                <w:szCs w:val="18"/>
              </w:rPr>
              <w:t>495,895,715.07</w:t>
            </w:r>
          </w:p>
        </w:tc>
      </w:tr>
      <w:tr w14:paraId="2B815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66" w:type="pct"/>
            <w:shd w:val="clear" w:color="auto" w:fill="D3D3D3"/>
            <w:vAlign w:val="center"/>
          </w:tcPr>
          <w:p w14:paraId="776C62FB">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衍生金融资产</w:t>
            </w:r>
          </w:p>
        </w:tc>
        <w:tc>
          <w:tcPr>
            <w:tcW w:w="1666" w:type="pct"/>
            <w:vAlign w:val="center"/>
          </w:tcPr>
          <w:p w14:paraId="4619111D">
            <w:pPr>
              <w:spacing w:before="0" w:after="0" w:line="240" w:lineRule="exact"/>
              <w:jc w:val="right"/>
              <w:rPr>
                <w:rFonts w:ascii="宋体" w:hAnsi="宋体" w:eastAsia="宋体" w:cs="宋体"/>
                <w:sz w:val="18"/>
                <w:szCs w:val="18"/>
              </w:rPr>
            </w:pPr>
          </w:p>
        </w:tc>
        <w:tc>
          <w:tcPr>
            <w:tcW w:w="1666" w:type="pct"/>
            <w:vAlign w:val="center"/>
          </w:tcPr>
          <w:p w14:paraId="1B3F9125">
            <w:pPr>
              <w:spacing w:before="0" w:after="0" w:line="240" w:lineRule="exact"/>
              <w:jc w:val="right"/>
              <w:rPr>
                <w:rFonts w:ascii="宋体" w:hAnsi="宋体" w:eastAsia="宋体" w:cs="宋体"/>
                <w:sz w:val="18"/>
                <w:szCs w:val="18"/>
              </w:rPr>
            </w:pPr>
          </w:p>
        </w:tc>
      </w:tr>
      <w:tr w14:paraId="31E2C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66" w:type="pct"/>
            <w:shd w:val="clear" w:color="auto" w:fill="D3D3D3"/>
            <w:vAlign w:val="center"/>
          </w:tcPr>
          <w:p w14:paraId="398580DD">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应收票据</w:t>
            </w:r>
          </w:p>
        </w:tc>
        <w:tc>
          <w:tcPr>
            <w:tcW w:w="1666" w:type="pct"/>
            <w:vAlign w:val="center"/>
          </w:tcPr>
          <w:p w14:paraId="1ABEF42F">
            <w:pPr>
              <w:spacing w:before="0" w:after="0" w:line="240" w:lineRule="exact"/>
              <w:jc w:val="right"/>
              <w:rPr>
                <w:rFonts w:ascii="宋体" w:hAnsi="宋体" w:eastAsia="宋体" w:cs="宋体"/>
                <w:sz w:val="18"/>
                <w:szCs w:val="18"/>
              </w:rPr>
            </w:pPr>
            <w:r>
              <w:rPr>
                <w:rFonts w:ascii="宋体" w:hAnsi="宋体" w:eastAsia="宋体" w:cs="宋体"/>
                <w:sz w:val="18"/>
                <w:szCs w:val="18"/>
              </w:rPr>
              <w:t>2,026,709.90</w:t>
            </w:r>
          </w:p>
        </w:tc>
        <w:tc>
          <w:tcPr>
            <w:tcW w:w="1666" w:type="pct"/>
            <w:vAlign w:val="center"/>
          </w:tcPr>
          <w:p w14:paraId="47E4D1E9">
            <w:pPr>
              <w:spacing w:before="0" w:after="0" w:line="240" w:lineRule="exact"/>
              <w:jc w:val="right"/>
              <w:rPr>
                <w:rFonts w:ascii="宋体" w:hAnsi="宋体" w:eastAsia="宋体" w:cs="宋体"/>
                <w:sz w:val="18"/>
                <w:szCs w:val="18"/>
              </w:rPr>
            </w:pPr>
            <w:r>
              <w:rPr>
                <w:rFonts w:ascii="宋体" w:hAnsi="宋体" w:eastAsia="宋体" w:cs="宋体"/>
                <w:sz w:val="18"/>
                <w:szCs w:val="18"/>
              </w:rPr>
              <w:t>2,039,435.40</w:t>
            </w:r>
          </w:p>
        </w:tc>
      </w:tr>
      <w:tr w14:paraId="749F9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66" w:type="pct"/>
            <w:shd w:val="clear" w:color="auto" w:fill="D3D3D3"/>
            <w:vAlign w:val="center"/>
          </w:tcPr>
          <w:p w14:paraId="62D4CACE">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应收账款</w:t>
            </w:r>
          </w:p>
        </w:tc>
        <w:tc>
          <w:tcPr>
            <w:tcW w:w="1666" w:type="pct"/>
            <w:vAlign w:val="center"/>
          </w:tcPr>
          <w:p w14:paraId="2D72B3A5">
            <w:pPr>
              <w:spacing w:before="0" w:after="0" w:line="240" w:lineRule="exact"/>
              <w:jc w:val="right"/>
              <w:rPr>
                <w:rFonts w:ascii="宋体" w:hAnsi="宋体" w:eastAsia="宋体" w:cs="宋体"/>
                <w:sz w:val="18"/>
                <w:szCs w:val="18"/>
              </w:rPr>
            </w:pPr>
            <w:r>
              <w:rPr>
                <w:rFonts w:ascii="宋体" w:hAnsi="宋体" w:eastAsia="宋体" w:cs="宋体"/>
                <w:sz w:val="18"/>
                <w:szCs w:val="18"/>
              </w:rPr>
              <w:t>15,895,524.00</w:t>
            </w:r>
          </w:p>
        </w:tc>
        <w:tc>
          <w:tcPr>
            <w:tcW w:w="1666" w:type="pct"/>
            <w:vAlign w:val="center"/>
          </w:tcPr>
          <w:p w14:paraId="50B3DD9D">
            <w:pPr>
              <w:spacing w:before="0" w:after="0" w:line="240" w:lineRule="exact"/>
              <w:jc w:val="right"/>
              <w:rPr>
                <w:rFonts w:ascii="宋体" w:hAnsi="宋体" w:eastAsia="宋体" w:cs="宋体"/>
                <w:sz w:val="18"/>
                <w:szCs w:val="18"/>
              </w:rPr>
            </w:pPr>
            <w:r>
              <w:rPr>
                <w:rFonts w:ascii="宋体" w:hAnsi="宋体" w:eastAsia="宋体" w:cs="宋体"/>
                <w:sz w:val="18"/>
                <w:szCs w:val="18"/>
              </w:rPr>
              <w:t>8,634,968.12</w:t>
            </w:r>
          </w:p>
        </w:tc>
      </w:tr>
      <w:tr w14:paraId="7C126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66" w:type="pct"/>
            <w:shd w:val="clear" w:color="auto" w:fill="D3D3D3"/>
            <w:vAlign w:val="center"/>
          </w:tcPr>
          <w:p w14:paraId="75008D01">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应收款项融资</w:t>
            </w:r>
          </w:p>
        </w:tc>
        <w:tc>
          <w:tcPr>
            <w:tcW w:w="1666" w:type="pct"/>
            <w:vAlign w:val="center"/>
          </w:tcPr>
          <w:p w14:paraId="5ABA3260">
            <w:pPr>
              <w:spacing w:before="0" w:after="0" w:line="240" w:lineRule="exact"/>
              <w:jc w:val="right"/>
              <w:rPr>
                <w:rFonts w:ascii="宋体" w:hAnsi="宋体" w:eastAsia="宋体" w:cs="宋体"/>
                <w:sz w:val="18"/>
                <w:szCs w:val="18"/>
              </w:rPr>
            </w:pPr>
            <w:r>
              <w:rPr>
                <w:rFonts w:ascii="宋体" w:hAnsi="宋体" w:eastAsia="宋体" w:cs="宋体"/>
                <w:sz w:val="18"/>
                <w:szCs w:val="18"/>
              </w:rPr>
              <w:t>3,221,060.30</w:t>
            </w:r>
          </w:p>
        </w:tc>
        <w:tc>
          <w:tcPr>
            <w:tcW w:w="1666" w:type="pct"/>
            <w:vAlign w:val="center"/>
          </w:tcPr>
          <w:p w14:paraId="688F3BD1">
            <w:pPr>
              <w:spacing w:before="0" w:after="0" w:line="240" w:lineRule="exact"/>
              <w:jc w:val="right"/>
              <w:rPr>
                <w:rFonts w:ascii="宋体" w:hAnsi="宋体" w:eastAsia="宋体" w:cs="宋体"/>
                <w:sz w:val="18"/>
                <w:szCs w:val="18"/>
              </w:rPr>
            </w:pPr>
            <w:r>
              <w:rPr>
                <w:rFonts w:ascii="宋体" w:hAnsi="宋体" w:eastAsia="宋体" w:cs="宋体"/>
                <w:sz w:val="18"/>
                <w:szCs w:val="18"/>
              </w:rPr>
              <w:t>3,563,058.50</w:t>
            </w:r>
          </w:p>
        </w:tc>
      </w:tr>
      <w:tr w14:paraId="6011C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66" w:type="pct"/>
            <w:shd w:val="clear" w:color="auto" w:fill="D3D3D3"/>
            <w:vAlign w:val="center"/>
          </w:tcPr>
          <w:p w14:paraId="74DAA646">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预付款项</w:t>
            </w:r>
          </w:p>
        </w:tc>
        <w:tc>
          <w:tcPr>
            <w:tcW w:w="1666" w:type="pct"/>
            <w:vAlign w:val="center"/>
          </w:tcPr>
          <w:p w14:paraId="706860A5">
            <w:pPr>
              <w:spacing w:before="0" w:after="0" w:line="240" w:lineRule="exact"/>
              <w:jc w:val="right"/>
              <w:rPr>
                <w:rFonts w:ascii="宋体" w:hAnsi="宋体" w:eastAsia="宋体" w:cs="宋体"/>
                <w:sz w:val="18"/>
                <w:szCs w:val="18"/>
              </w:rPr>
            </w:pPr>
            <w:r>
              <w:rPr>
                <w:rFonts w:ascii="宋体" w:hAnsi="宋体" w:eastAsia="宋体" w:cs="宋体"/>
                <w:sz w:val="18"/>
                <w:szCs w:val="18"/>
              </w:rPr>
              <w:t>1,637,719.48</w:t>
            </w:r>
          </w:p>
        </w:tc>
        <w:tc>
          <w:tcPr>
            <w:tcW w:w="1666" w:type="pct"/>
            <w:vAlign w:val="center"/>
          </w:tcPr>
          <w:p w14:paraId="45CB8F7C">
            <w:pPr>
              <w:spacing w:before="0" w:after="0" w:line="240" w:lineRule="exact"/>
              <w:jc w:val="right"/>
              <w:rPr>
                <w:rFonts w:ascii="宋体" w:hAnsi="宋体" w:eastAsia="宋体" w:cs="宋体"/>
                <w:sz w:val="18"/>
                <w:szCs w:val="18"/>
              </w:rPr>
            </w:pPr>
            <w:r>
              <w:rPr>
                <w:rFonts w:ascii="宋体" w:hAnsi="宋体" w:eastAsia="宋体" w:cs="宋体"/>
                <w:sz w:val="18"/>
                <w:szCs w:val="18"/>
              </w:rPr>
              <w:t>641,148.09</w:t>
            </w:r>
          </w:p>
        </w:tc>
      </w:tr>
      <w:tr w14:paraId="69A75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66" w:type="pct"/>
            <w:shd w:val="clear" w:color="auto" w:fill="D3D3D3"/>
            <w:vAlign w:val="center"/>
          </w:tcPr>
          <w:p w14:paraId="727DD2C9">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应收保费</w:t>
            </w:r>
          </w:p>
        </w:tc>
        <w:tc>
          <w:tcPr>
            <w:tcW w:w="1666" w:type="pct"/>
            <w:vAlign w:val="center"/>
          </w:tcPr>
          <w:p w14:paraId="33B03828">
            <w:pPr>
              <w:spacing w:before="0" w:after="0" w:line="240" w:lineRule="exact"/>
              <w:jc w:val="right"/>
              <w:rPr>
                <w:rFonts w:ascii="宋体" w:hAnsi="宋体" w:eastAsia="宋体" w:cs="宋体"/>
                <w:sz w:val="18"/>
                <w:szCs w:val="18"/>
              </w:rPr>
            </w:pPr>
          </w:p>
        </w:tc>
        <w:tc>
          <w:tcPr>
            <w:tcW w:w="1666" w:type="pct"/>
            <w:vAlign w:val="center"/>
          </w:tcPr>
          <w:p w14:paraId="700C189A">
            <w:pPr>
              <w:spacing w:before="0" w:after="0" w:line="240" w:lineRule="exact"/>
              <w:jc w:val="right"/>
              <w:rPr>
                <w:rFonts w:ascii="宋体" w:hAnsi="宋体" w:eastAsia="宋体" w:cs="宋体"/>
                <w:sz w:val="18"/>
                <w:szCs w:val="18"/>
              </w:rPr>
            </w:pPr>
          </w:p>
        </w:tc>
      </w:tr>
      <w:tr w14:paraId="4964C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66" w:type="pct"/>
            <w:shd w:val="clear" w:color="auto" w:fill="D3D3D3"/>
            <w:vAlign w:val="center"/>
          </w:tcPr>
          <w:p w14:paraId="176066EF">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应收分保账款</w:t>
            </w:r>
          </w:p>
        </w:tc>
        <w:tc>
          <w:tcPr>
            <w:tcW w:w="1666" w:type="pct"/>
            <w:vAlign w:val="center"/>
          </w:tcPr>
          <w:p w14:paraId="4B0C0CE8">
            <w:pPr>
              <w:spacing w:before="0" w:after="0" w:line="240" w:lineRule="exact"/>
              <w:jc w:val="right"/>
              <w:rPr>
                <w:rFonts w:ascii="宋体" w:hAnsi="宋体" w:eastAsia="宋体" w:cs="宋体"/>
                <w:sz w:val="18"/>
                <w:szCs w:val="18"/>
              </w:rPr>
            </w:pPr>
          </w:p>
        </w:tc>
        <w:tc>
          <w:tcPr>
            <w:tcW w:w="1666" w:type="pct"/>
            <w:vAlign w:val="center"/>
          </w:tcPr>
          <w:p w14:paraId="652C5AE9">
            <w:pPr>
              <w:spacing w:before="0" w:after="0" w:line="240" w:lineRule="exact"/>
              <w:jc w:val="right"/>
              <w:rPr>
                <w:rFonts w:ascii="宋体" w:hAnsi="宋体" w:eastAsia="宋体" w:cs="宋体"/>
                <w:sz w:val="18"/>
                <w:szCs w:val="18"/>
              </w:rPr>
            </w:pPr>
          </w:p>
        </w:tc>
      </w:tr>
      <w:tr w14:paraId="0FC40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66" w:type="pct"/>
            <w:shd w:val="clear" w:color="auto" w:fill="D3D3D3"/>
            <w:vAlign w:val="center"/>
          </w:tcPr>
          <w:p w14:paraId="7DB4931C">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应收分保合同准备金</w:t>
            </w:r>
          </w:p>
        </w:tc>
        <w:tc>
          <w:tcPr>
            <w:tcW w:w="1666" w:type="pct"/>
            <w:vAlign w:val="center"/>
          </w:tcPr>
          <w:p w14:paraId="29138613">
            <w:pPr>
              <w:spacing w:before="0" w:after="0" w:line="240" w:lineRule="exact"/>
              <w:jc w:val="right"/>
              <w:rPr>
                <w:rFonts w:ascii="宋体" w:hAnsi="宋体" w:eastAsia="宋体" w:cs="宋体"/>
                <w:sz w:val="18"/>
                <w:szCs w:val="18"/>
              </w:rPr>
            </w:pPr>
          </w:p>
        </w:tc>
        <w:tc>
          <w:tcPr>
            <w:tcW w:w="1666" w:type="pct"/>
            <w:vAlign w:val="center"/>
          </w:tcPr>
          <w:p w14:paraId="641C7795">
            <w:pPr>
              <w:spacing w:before="0" w:after="0" w:line="240" w:lineRule="exact"/>
              <w:jc w:val="right"/>
              <w:rPr>
                <w:rFonts w:ascii="宋体" w:hAnsi="宋体" w:eastAsia="宋体" w:cs="宋体"/>
                <w:sz w:val="18"/>
                <w:szCs w:val="18"/>
              </w:rPr>
            </w:pPr>
          </w:p>
        </w:tc>
      </w:tr>
      <w:tr w14:paraId="07F4B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66" w:type="pct"/>
            <w:shd w:val="clear" w:color="auto" w:fill="D3D3D3"/>
            <w:vAlign w:val="center"/>
          </w:tcPr>
          <w:p w14:paraId="5E60F548">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其他应收款</w:t>
            </w:r>
          </w:p>
        </w:tc>
        <w:tc>
          <w:tcPr>
            <w:tcW w:w="1666" w:type="pct"/>
            <w:vAlign w:val="center"/>
          </w:tcPr>
          <w:p w14:paraId="65B46908">
            <w:pPr>
              <w:spacing w:before="0" w:after="0" w:line="240" w:lineRule="exact"/>
              <w:jc w:val="right"/>
              <w:rPr>
                <w:rFonts w:ascii="宋体" w:hAnsi="宋体" w:eastAsia="宋体" w:cs="宋体"/>
                <w:sz w:val="18"/>
                <w:szCs w:val="18"/>
              </w:rPr>
            </w:pPr>
            <w:r>
              <w:rPr>
                <w:rFonts w:ascii="宋体" w:hAnsi="宋体" w:eastAsia="宋体" w:cs="宋体"/>
                <w:sz w:val="18"/>
                <w:szCs w:val="18"/>
              </w:rPr>
              <w:t>146,357.60</w:t>
            </w:r>
          </w:p>
        </w:tc>
        <w:tc>
          <w:tcPr>
            <w:tcW w:w="1666" w:type="pct"/>
            <w:vAlign w:val="center"/>
          </w:tcPr>
          <w:p w14:paraId="4AC7D0F1">
            <w:pPr>
              <w:spacing w:before="0" w:after="0" w:line="240" w:lineRule="exact"/>
              <w:jc w:val="right"/>
              <w:rPr>
                <w:rFonts w:ascii="宋体" w:hAnsi="宋体" w:eastAsia="宋体" w:cs="宋体"/>
                <w:sz w:val="18"/>
                <w:szCs w:val="18"/>
              </w:rPr>
            </w:pPr>
            <w:r>
              <w:rPr>
                <w:rFonts w:ascii="宋体" w:hAnsi="宋体" w:eastAsia="宋体" w:cs="宋体"/>
                <w:sz w:val="18"/>
                <w:szCs w:val="18"/>
              </w:rPr>
              <w:t>76,849.40</w:t>
            </w:r>
          </w:p>
        </w:tc>
      </w:tr>
      <w:tr w14:paraId="2D01A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66" w:type="pct"/>
            <w:shd w:val="clear" w:color="auto" w:fill="D3D3D3"/>
            <w:vAlign w:val="center"/>
          </w:tcPr>
          <w:p w14:paraId="40CB7ACD">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其中：应收利息</w:t>
            </w:r>
          </w:p>
        </w:tc>
        <w:tc>
          <w:tcPr>
            <w:tcW w:w="1666" w:type="pct"/>
            <w:vAlign w:val="center"/>
          </w:tcPr>
          <w:p w14:paraId="227ADC0D">
            <w:pPr>
              <w:spacing w:before="0" w:after="0" w:line="240" w:lineRule="exact"/>
              <w:jc w:val="right"/>
              <w:rPr>
                <w:rFonts w:ascii="宋体" w:hAnsi="宋体" w:eastAsia="宋体" w:cs="宋体"/>
                <w:sz w:val="18"/>
                <w:szCs w:val="18"/>
              </w:rPr>
            </w:pPr>
          </w:p>
        </w:tc>
        <w:tc>
          <w:tcPr>
            <w:tcW w:w="1666" w:type="pct"/>
            <w:vAlign w:val="center"/>
          </w:tcPr>
          <w:p w14:paraId="3806EA32">
            <w:pPr>
              <w:spacing w:before="0" w:after="0" w:line="240" w:lineRule="exact"/>
              <w:jc w:val="right"/>
              <w:rPr>
                <w:rFonts w:ascii="宋体" w:hAnsi="宋体" w:eastAsia="宋体" w:cs="宋体"/>
                <w:sz w:val="18"/>
                <w:szCs w:val="18"/>
              </w:rPr>
            </w:pPr>
          </w:p>
        </w:tc>
      </w:tr>
      <w:tr w14:paraId="36E8E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66" w:type="pct"/>
            <w:shd w:val="clear" w:color="auto" w:fill="D3D3D3"/>
            <w:vAlign w:val="center"/>
          </w:tcPr>
          <w:p w14:paraId="786EB5D6">
            <w:pPr>
              <w:spacing w:before="0" w:after="0" w:line="240" w:lineRule="exact"/>
              <w:ind w:firstLine="900" w:firstLineChars="500"/>
              <w:jc w:val="left"/>
              <w:rPr>
                <w:rFonts w:ascii="宋体" w:hAnsi="宋体" w:eastAsia="宋体" w:cs="宋体"/>
                <w:sz w:val="18"/>
                <w:szCs w:val="18"/>
              </w:rPr>
            </w:pPr>
            <w:r>
              <w:rPr>
                <w:rFonts w:ascii="宋体" w:hAnsi="宋体" w:eastAsia="宋体" w:cs="宋体"/>
                <w:sz w:val="18"/>
                <w:szCs w:val="18"/>
              </w:rPr>
              <w:t>应收股利</w:t>
            </w:r>
          </w:p>
        </w:tc>
        <w:tc>
          <w:tcPr>
            <w:tcW w:w="1666" w:type="pct"/>
            <w:vAlign w:val="center"/>
          </w:tcPr>
          <w:p w14:paraId="71E5FF44">
            <w:pPr>
              <w:spacing w:before="0" w:after="0" w:line="240" w:lineRule="exact"/>
              <w:jc w:val="right"/>
              <w:rPr>
                <w:rFonts w:ascii="宋体" w:hAnsi="宋体" w:eastAsia="宋体" w:cs="宋体"/>
                <w:sz w:val="18"/>
                <w:szCs w:val="18"/>
              </w:rPr>
            </w:pPr>
          </w:p>
        </w:tc>
        <w:tc>
          <w:tcPr>
            <w:tcW w:w="1666" w:type="pct"/>
            <w:vAlign w:val="center"/>
          </w:tcPr>
          <w:p w14:paraId="1717793D">
            <w:pPr>
              <w:spacing w:before="0" w:after="0" w:line="240" w:lineRule="exact"/>
              <w:jc w:val="right"/>
              <w:rPr>
                <w:rFonts w:ascii="宋体" w:hAnsi="宋体" w:eastAsia="宋体" w:cs="宋体"/>
                <w:sz w:val="18"/>
                <w:szCs w:val="18"/>
              </w:rPr>
            </w:pPr>
          </w:p>
        </w:tc>
      </w:tr>
      <w:tr w14:paraId="39351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66" w:type="pct"/>
            <w:shd w:val="clear" w:color="auto" w:fill="D3D3D3"/>
            <w:vAlign w:val="center"/>
          </w:tcPr>
          <w:p w14:paraId="3ADC4851">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买入返售金融资产</w:t>
            </w:r>
          </w:p>
        </w:tc>
        <w:tc>
          <w:tcPr>
            <w:tcW w:w="1666" w:type="pct"/>
            <w:vAlign w:val="center"/>
          </w:tcPr>
          <w:p w14:paraId="33ACCE6B">
            <w:pPr>
              <w:spacing w:before="0" w:after="0" w:line="240" w:lineRule="exact"/>
              <w:jc w:val="right"/>
              <w:rPr>
                <w:rFonts w:ascii="宋体" w:hAnsi="宋体" w:eastAsia="宋体" w:cs="宋体"/>
                <w:sz w:val="18"/>
                <w:szCs w:val="18"/>
              </w:rPr>
            </w:pPr>
          </w:p>
        </w:tc>
        <w:tc>
          <w:tcPr>
            <w:tcW w:w="1666" w:type="pct"/>
            <w:vAlign w:val="center"/>
          </w:tcPr>
          <w:p w14:paraId="1926D77D">
            <w:pPr>
              <w:spacing w:before="0" w:after="0" w:line="240" w:lineRule="exact"/>
              <w:jc w:val="right"/>
              <w:rPr>
                <w:rFonts w:ascii="宋体" w:hAnsi="宋体" w:eastAsia="宋体" w:cs="宋体"/>
                <w:sz w:val="18"/>
                <w:szCs w:val="18"/>
              </w:rPr>
            </w:pPr>
          </w:p>
        </w:tc>
      </w:tr>
      <w:tr w14:paraId="35D6D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66" w:type="pct"/>
            <w:shd w:val="clear" w:color="auto" w:fill="D3D3D3"/>
            <w:vAlign w:val="center"/>
          </w:tcPr>
          <w:p w14:paraId="00B05235">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存货</w:t>
            </w:r>
          </w:p>
        </w:tc>
        <w:tc>
          <w:tcPr>
            <w:tcW w:w="1666" w:type="pct"/>
            <w:vAlign w:val="center"/>
          </w:tcPr>
          <w:p w14:paraId="10ABCAFA">
            <w:pPr>
              <w:spacing w:before="0" w:after="0" w:line="240" w:lineRule="exact"/>
              <w:jc w:val="right"/>
              <w:rPr>
                <w:rFonts w:ascii="宋体" w:hAnsi="宋体" w:eastAsia="宋体" w:cs="宋体"/>
                <w:sz w:val="18"/>
                <w:szCs w:val="18"/>
              </w:rPr>
            </w:pPr>
            <w:r>
              <w:rPr>
                <w:rFonts w:ascii="宋体" w:hAnsi="宋体" w:eastAsia="宋体" w:cs="宋体"/>
                <w:sz w:val="18"/>
                <w:szCs w:val="18"/>
              </w:rPr>
              <w:t>29,076,456.45</w:t>
            </w:r>
          </w:p>
        </w:tc>
        <w:tc>
          <w:tcPr>
            <w:tcW w:w="1666" w:type="pct"/>
            <w:vAlign w:val="center"/>
          </w:tcPr>
          <w:p w14:paraId="22EEAC81">
            <w:pPr>
              <w:spacing w:before="0" w:after="0" w:line="240" w:lineRule="exact"/>
              <w:jc w:val="right"/>
              <w:rPr>
                <w:rFonts w:ascii="宋体" w:hAnsi="宋体" w:eastAsia="宋体" w:cs="宋体"/>
                <w:sz w:val="18"/>
                <w:szCs w:val="18"/>
              </w:rPr>
            </w:pPr>
            <w:r>
              <w:rPr>
                <w:rFonts w:ascii="宋体" w:hAnsi="宋体" w:eastAsia="宋体" w:cs="宋体"/>
                <w:sz w:val="18"/>
                <w:szCs w:val="18"/>
              </w:rPr>
              <w:t>29,296,720.93</w:t>
            </w:r>
          </w:p>
        </w:tc>
      </w:tr>
      <w:tr w14:paraId="608E2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66" w:type="pct"/>
            <w:shd w:val="clear" w:color="auto" w:fill="D3D3D3"/>
            <w:vAlign w:val="center"/>
          </w:tcPr>
          <w:p w14:paraId="4B03EA35">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其中：数据资源</w:t>
            </w:r>
          </w:p>
        </w:tc>
        <w:tc>
          <w:tcPr>
            <w:tcW w:w="1666" w:type="pct"/>
            <w:vAlign w:val="center"/>
          </w:tcPr>
          <w:p w14:paraId="70BF6870">
            <w:pPr>
              <w:spacing w:before="0" w:after="0" w:line="240" w:lineRule="exact"/>
              <w:jc w:val="right"/>
              <w:rPr>
                <w:rFonts w:ascii="宋体" w:hAnsi="宋体" w:eastAsia="宋体" w:cs="宋体"/>
                <w:sz w:val="18"/>
                <w:szCs w:val="18"/>
              </w:rPr>
            </w:pPr>
          </w:p>
        </w:tc>
        <w:tc>
          <w:tcPr>
            <w:tcW w:w="1666" w:type="pct"/>
            <w:vAlign w:val="center"/>
          </w:tcPr>
          <w:p w14:paraId="3C014907">
            <w:pPr>
              <w:spacing w:before="0" w:after="0" w:line="240" w:lineRule="exact"/>
              <w:jc w:val="right"/>
              <w:rPr>
                <w:rFonts w:ascii="宋体" w:hAnsi="宋体" w:eastAsia="宋体" w:cs="宋体"/>
                <w:sz w:val="18"/>
                <w:szCs w:val="18"/>
              </w:rPr>
            </w:pPr>
          </w:p>
        </w:tc>
      </w:tr>
      <w:tr w14:paraId="1FC3A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66" w:type="pct"/>
            <w:shd w:val="clear" w:color="auto" w:fill="D3D3D3"/>
            <w:vAlign w:val="center"/>
          </w:tcPr>
          <w:p w14:paraId="7FBDF648">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合同资产</w:t>
            </w:r>
          </w:p>
        </w:tc>
        <w:tc>
          <w:tcPr>
            <w:tcW w:w="1666" w:type="pct"/>
            <w:vAlign w:val="center"/>
          </w:tcPr>
          <w:p w14:paraId="709FB153">
            <w:pPr>
              <w:spacing w:before="0" w:after="0" w:line="240" w:lineRule="exact"/>
              <w:jc w:val="right"/>
              <w:rPr>
                <w:rFonts w:ascii="宋体" w:hAnsi="宋体" w:eastAsia="宋体" w:cs="宋体"/>
                <w:sz w:val="18"/>
                <w:szCs w:val="18"/>
              </w:rPr>
            </w:pPr>
          </w:p>
        </w:tc>
        <w:tc>
          <w:tcPr>
            <w:tcW w:w="1666" w:type="pct"/>
            <w:vAlign w:val="center"/>
          </w:tcPr>
          <w:p w14:paraId="234DCEC0">
            <w:pPr>
              <w:spacing w:before="0" w:after="0" w:line="240" w:lineRule="exact"/>
              <w:jc w:val="right"/>
              <w:rPr>
                <w:rFonts w:ascii="宋体" w:hAnsi="宋体" w:eastAsia="宋体" w:cs="宋体"/>
                <w:sz w:val="18"/>
                <w:szCs w:val="18"/>
              </w:rPr>
            </w:pPr>
          </w:p>
        </w:tc>
      </w:tr>
      <w:tr w14:paraId="3DA27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66" w:type="pct"/>
            <w:shd w:val="clear" w:color="auto" w:fill="D3D3D3"/>
            <w:vAlign w:val="center"/>
          </w:tcPr>
          <w:p w14:paraId="0C7B62B2">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持有待售资产</w:t>
            </w:r>
          </w:p>
        </w:tc>
        <w:tc>
          <w:tcPr>
            <w:tcW w:w="1666" w:type="pct"/>
            <w:vAlign w:val="center"/>
          </w:tcPr>
          <w:p w14:paraId="6313576F">
            <w:pPr>
              <w:spacing w:before="0" w:after="0" w:line="240" w:lineRule="exact"/>
              <w:jc w:val="right"/>
              <w:rPr>
                <w:rFonts w:ascii="宋体" w:hAnsi="宋体" w:eastAsia="宋体" w:cs="宋体"/>
                <w:sz w:val="18"/>
                <w:szCs w:val="18"/>
              </w:rPr>
            </w:pPr>
          </w:p>
        </w:tc>
        <w:tc>
          <w:tcPr>
            <w:tcW w:w="1666" w:type="pct"/>
            <w:vAlign w:val="center"/>
          </w:tcPr>
          <w:p w14:paraId="6C345FAC">
            <w:pPr>
              <w:spacing w:before="0" w:after="0" w:line="240" w:lineRule="exact"/>
              <w:jc w:val="right"/>
              <w:rPr>
                <w:rFonts w:ascii="宋体" w:hAnsi="宋体" w:eastAsia="宋体" w:cs="宋体"/>
                <w:sz w:val="18"/>
                <w:szCs w:val="18"/>
              </w:rPr>
            </w:pPr>
          </w:p>
        </w:tc>
      </w:tr>
      <w:tr w14:paraId="5591E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66" w:type="pct"/>
            <w:shd w:val="clear" w:color="auto" w:fill="D3D3D3"/>
            <w:vAlign w:val="center"/>
          </w:tcPr>
          <w:p w14:paraId="1C96A277">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一年内到期的非流动资产</w:t>
            </w:r>
          </w:p>
        </w:tc>
        <w:tc>
          <w:tcPr>
            <w:tcW w:w="1666" w:type="pct"/>
            <w:vAlign w:val="center"/>
          </w:tcPr>
          <w:p w14:paraId="3581326C">
            <w:pPr>
              <w:spacing w:before="0" w:after="0" w:line="240" w:lineRule="exact"/>
              <w:jc w:val="right"/>
              <w:rPr>
                <w:rFonts w:ascii="宋体" w:hAnsi="宋体" w:eastAsia="宋体" w:cs="宋体"/>
                <w:sz w:val="18"/>
                <w:szCs w:val="18"/>
              </w:rPr>
            </w:pPr>
            <w:r>
              <w:rPr>
                <w:rFonts w:ascii="宋体" w:hAnsi="宋体" w:eastAsia="宋体" w:cs="宋体"/>
                <w:sz w:val="18"/>
                <w:szCs w:val="18"/>
              </w:rPr>
              <w:t>100,109,315.07</w:t>
            </w:r>
          </w:p>
        </w:tc>
        <w:tc>
          <w:tcPr>
            <w:tcW w:w="1666" w:type="pct"/>
            <w:vAlign w:val="center"/>
          </w:tcPr>
          <w:p w14:paraId="03345C1E">
            <w:pPr>
              <w:spacing w:before="0" w:after="0" w:line="240" w:lineRule="exact"/>
              <w:jc w:val="right"/>
              <w:rPr>
                <w:rFonts w:ascii="宋体" w:hAnsi="宋体" w:eastAsia="宋体" w:cs="宋体"/>
                <w:sz w:val="18"/>
                <w:szCs w:val="18"/>
              </w:rPr>
            </w:pPr>
          </w:p>
        </w:tc>
      </w:tr>
      <w:tr w14:paraId="2282F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66" w:type="pct"/>
            <w:shd w:val="clear" w:color="auto" w:fill="D3D3D3"/>
            <w:vAlign w:val="center"/>
          </w:tcPr>
          <w:p w14:paraId="435EA702">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其他流动资产</w:t>
            </w:r>
          </w:p>
        </w:tc>
        <w:tc>
          <w:tcPr>
            <w:tcW w:w="1666" w:type="pct"/>
            <w:vAlign w:val="center"/>
          </w:tcPr>
          <w:p w14:paraId="46B34779">
            <w:pPr>
              <w:spacing w:before="0" w:after="0" w:line="240" w:lineRule="exact"/>
              <w:jc w:val="right"/>
              <w:rPr>
                <w:rFonts w:ascii="宋体" w:hAnsi="宋体" w:eastAsia="宋体" w:cs="宋体"/>
                <w:sz w:val="18"/>
                <w:szCs w:val="18"/>
              </w:rPr>
            </w:pPr>
            <w:r>
              <w:rPr>
                <w:rFonts w:ascii="宋体" w:hAnsi="宋体" w:eastAsia="宋体" w:cs="宋体"/>
                <w:sz w:val="18"/>
                <w:szCs w:val="18"/>
              </w:rPr>
              <w:t>10,000,000.00</w:t>
            </w:r>
          </w:p>
        </w:tc>
        <w:tc>
          <w:tcPr>
            <w:tcW w:w="1666" w:type="pct"/>
            <w:vAlign w:val="center"/>
          </w:tcPr>
          <w:p w14:paraId="068E0E49">
            <w:pPr>
              <w:spacing w:before="0" w:after="0" w:line="240" w:lineRule="exact"/>
              <w:jc w:val="right"/>
              <w:rPr>
                <w:rFonts w:ascii="宋体" w:hAnsi="宋体" w:eastAsia="宋体" w:cs="宋体"/>
                <w:sz w:val="18"/>
                <w:szCs w:val="18"/>
              </w:rPr>
            </w:pPr>
            <w:r>
              <w:rPr>
                <w:rFonts w:ascii="宋体" w:hAnsi="宋体" w:eastAsia="宋体" w:cs="宋体"/>
                <w:sz w:val="18"/>
                <w:szCs w:val="18"/>
              </w:rPr>
              <w:t>34,679,680.81</w:t>
            </w:r>
          </w:p>
        </w:tc>
      </w:tr>
      <w:tr w14:paraId="47ACB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66" w:type="pct"/>
            <w:shd w:val="clear" w:color="auto" w:fill="D3D3D3"/>
            <w:vAlign w:val="center"/>
          </w:tcPr>
          <w:p w14:paraId="2F4E1326">
            <w:pPr>
              <w:spacing w:before="0" w:after="0" w:line="240" w:lineRule="exact"/>
              <w:jc w:val="left"/>
              <w:rPr>
                <w:rFonts w:ascii="宋体" w:hAnsi="宋体" w:eastAsia="宋体" w:cs="宋体"/>
                <w:sz w:val="18"/>
                <w:szCs w:val="18"/>
              </w:rPr>
            </w:pPr>
            <w:r>
              <w:rPr>
                <w:rFonts w:ascii="宋体" w:hAnsi="宋体" w:eastAsia="宋体" w:cs="宋体"/>
                <w:sz w:val="18"/>
                <w:szCs w:val="18"/>
              </w:rPr>
              <w:t>流动资产合计</w:t>
            </w:r>
          </w:p>
        </w:tc>
        <w:tc>
          <w:tcPr>
            <w:tcW w:w="1666" w:type="pct"/>
            <w:vAlign w:val="center"/>
          </w:tcPr>
          <w:p w14:paraId="2457AB55">
            <w:pPr>
              <w:spacing w:before="0" w:after="0" w:line="240" w:lineRule="exact"/>
              <w:jc w:val="right"/>
              <w:rPr>
                <w:rFonts w:ascii="宋体" w:hAnsi="宋体" w:eastAsia="宋体" w:cs="宋体"/>
                <w:sz w:val="18"/>
                <w:szCs w:val="18"/>
              </w:rPr>
            </w:pPr>
            <w:r>
              <w:rPr>
                <w:rFonts w:ascii="宋体" w:hAnsi="宋体" w:eastAsia="宋体" w:cs="宋体"/>
                <w:sz w:val="18"/>
                <w:szCs w:val="18"/>
              </w:rPr>
              <w:t>802,783,923.62</w:t>
            </w:r>
          </w:p>
        </w:tc>
        <w:tc>
          <w:tcPr>
            <w:tcW w:w="1666" w:type="pct"/>
            <w:vAlign w:val="center"/>
          </w:tcPr>
          <w:p w14:paraId="79B887B3">
            <w:pPr>
              <w:spacing w:before="0" w:after="0" w:line="240" w:lineRule="exact"/>
              <w:jc w:val="right"/>
              <w:rPr>
                <w:rFonts w:ascii="宋体" w:hAnsi="宋体" w:eastAsia="宋体" w:cs="宋体"/>
                <w:sz w:val="18"/>
                <w:szCs w:val="18"/>
              </w:rPr>
            </w:pPr>
            <w:r>
              <w:rPr>
                <w:rFonts w:ascii="宋体" w:hAnsi="宋体" w:eastAsia="宋体" w:cs="宋体"/>
                <w:sz w:val="18"/>
                <w:szCs w:val="18"/>
              </w:rPr>
              <w:t>814,279,411.33</w:t>
            </w:r>
          </w:p>
        </w:tc>
      </w:tr>
      <w:tr w14:paraId="15934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66" w:type="pct"/>
            <w:shd w:val="clear" w:color="auto" w:fill="D3D3D3"/>
            <w:vAlign w:val="center"/>
          </w:tcPr>
          <w:p w14:paraId="0EFBE3B6">
            <w:pPr>
              <w:spacing w:before="0" w:after="0" w:line="240" w:lineRule="exact"/>
              <w:jc w:val="left"/>
              <w:rPr>
                <w:rFonts w:ascii="宋体" w:hAnsi="宋体" w:eastAsia="宋体" w:cs="宋体"/>
                <w:sz w:val="18"/>
                <w:szCs w:val="18"/>
              </w:rPr>
            </w:pPr>
            <w:r>
              <w:rPr>
                <w:rFonts w:ascii="宋体" w:hAnsi="宋体" w:eastAsia="宋体" w:cs="宋体"/>
                <w:sz w:val="18"/>
                <w:szCs w:val="18"/>
              </w:rPr>
              <w:t>非流动资产：</w:t>
            </w:r>
          </w:p>
        </w:tc>
        <w:tc>
          <w:tcPr>
            <w:tcW w:w="1666" w:type="pct"/>
            <w:shd w:val="clear" w:color="auto" w:fill="D3D3D3"/>
            <w:vAlign w:val="center"/>
          </w:tcPr>
          <w:p w14:paraId="3088F57E"/>
        </w:tc>
        <w:tc>
          <w:tcPr>
            <w:tcW w:w="1666" w:type="pct"/>
            <w:shd w:val="clear" w:color="auto" w:fill="D3D3D3"/>
            <w:vAlign w:val="center"/>
          </w:tcPr>
          <w:p w14:paraId="7171FAF2"/>
        </w:tc>
      </w:tr>
      <w:tr w14:paraId="2C0D9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66" w:type="pct"/>
            <w:shd w:val="clear" w:color="auto" w:fill="D3D3D3"/>
            <w:vAlign w:val="center"/>
          </w:tcPr>
          <w:p w14:paraId="19114626">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发放贷款和垫款</w:t>
            </w:r>
          </w:p>
        </w:tc>
        <w:tc>
          <w:tcPr>
            <w:tcW w:w="1666" w:type="pct"/>
            <w:vAlign w:val="center"/>
          </w:tcPr>
          <w:p w14:paraId="4BA2DB94">
            <w:pPr>
              <w:spacing w:before="0" w:after="0" w:line="240" w:lineRule="exact"/>
              <w:jc w:val="right"/>
              <w:rPr>
                <w:rFonts w:ascii="宋体" w:hAnsi="宋体" w:eastAsia="宋体" w:cs="宋体"/>
                <w:sz w:val="18"/>
                <w:szCs w:val="18"/>
              </w:rPr>
            </w:pPr>
          </w:p>
        </w:tc>
        <w:tc>
          <w:tcPr>
            <w:tcW w:w="1666" w:type="pct"/>
            <w:vAlign w:val="center"/>
          </w:tcPr>
          <w:p w14:paraId="68BEB576">
            <w:pPr>
              <w:spacing w:before="0" w:after="0" w:line="240" w:lineRule="exact"/>
              <w:jc w:val="right"/>
              <w:rPr>
                <w:rFonts w:ascii="宋体" w:hAnsi="宋体" w:eastAsia="宋体" w:cs="宋体"/>
                <w:sz w:val="18"/>
                <w:szCs w:val="18"/>
              </w:rPr>
            </w:pPr>
          </w:p>
        </w:tc>
      </w:tr>
      <w:tr w14:paraId="5265B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66" w:type="pct"/>
            <w:shd w:val="clear" w:color="auto" w:fill="D3D3D3"/>
            <w:vAlign w:val="center"/>
          </w:tcPr>
          <w:p w14:paraId="71B0D3AF">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债权投资</w:t>
            </w:r>
          </w:p>
        </w:tc>
        <w:tc>
          <w:tcPr>
            <w:tcW w:w="1666" w:type="pct"/>
            <w:vAlign w:val="center"/>
          </w:tcPr>
          <w:p w14:paraId="794D0B76">
            <w:pPr>
              <w:spacing w:before="0" w:after="0" w:line="240" w:lineRule="exact"/>
              <w:jc w:val="right"/>
              <w:rPr>
                <w:rFonts w:ascii="宋体" w:hAnsi="宋体" w:eastAsia="宋体" w:cs="宋体"/>
                <w:sz w:val="18"/>
                <w:szCs w:val="18"/>
              </w:rPr>
            </w:pPr>
            <w:r>
              <w:rPr>
                <w:rFonts w:ascii="宋体" w:hAnsi="宋体" w:eastAsia="宋体" w:cs="宋体"/>
                <w:sz w:val="18"/>
                <w:szCs w:val="18"/>
              </w:rPr>
              <w:t>267,854,975.33</w:t>
            </w:r>
          </w:p>
        </w:tc>
        <w:tc>
          <w:tcPr>
            <w:tcW w:w="1666" w:type="pct"/>
            <w:vAlign w:val="center"/>
          </w:tcPr>
          <w:p w14:paraId="1B7D5758">
            <w:pPr>
              <w:spacing w:before="0" w:after="0" w:line="240" w:lineRule="exact"/>
              <w:jc w:val="right"/>
              <w:rPr>
                <w:rFonts w:ascii="宋体" w:hAnsi="宋体" w:eastAsia="宋体" w:cs="宋体"/>
                <w:sz w:val="18"/>
                <w:szCs w:val="18"/>
              </w:rPr>
            </w:pPr>
            <w:r>
              <w:rPr>
                <w:rFonts w:ascii="宋体" w:hAnsi="宋体" w:eastAsia="宋体" w:cs="宋体"/>
                <w:sz w:val="18"/>
                <w:szCs w:val="18"/>
              </w:rPr>
              <w:t>266,259,139.70</w:t>
            </w:r>
          </w:p>
        </w:tc>
      </w:tr>
      <w:tr w14:paraId="4B85C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66" w:type="pct"/>
            <w:shd w:val="clear" w:color="auto" w:fill="D3D3D3"/>
            <w:vAlign w:val="center"/>
          </w:tcPr>
          <w:p w14:paraId="3BFAB0DA">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其他债权投资</w:t>
            </w:r>
          </w:p>
        </w:tc>
        <w:tc>
          <w:tcPr>
            <w:tcW w:w="1666" w:type="pct"/>
            <w:vAlign w:val="center"/>
          </w:tcPr>
          <w:p w14:paraId="7A712886">
            <w:pPr>
              <w:spacing w:before="0" w:after="0" w:line="240" w:lineRule="exact"/>
              <w:jc w:val="right"/>
              <w:rPr>
                <w:rFonts w:ascii="宋体" w:hAnsi="宋体" w:eastAsia="宋体" w:cs="宋体"/>
                <w:sz w:val="18"/>
                <w:szCs w:val="18"/>
              </w:rPr>
            </w:pPr>
          </w:p>
        </w:tc>
        <w:tc>
          <w:tcPr>
            <w:tcW w:w="1666" w:type="pct"/>
            <w:vAlign w:val="center"/>
          </w:tcPr>
          <w:p w14:paraId="0252BA41">
            <w:pPr>
              <w:spacing w:before="0" w:after="0" w:line="240" w:lineRule="exact"/>
              <w:jc w:val="right"/>
              <w:rPr>
                <w:rFonts w:ascii="宋体" w:hAnsi="宋体" w:eastAsia="宋体" w:cs="宋体"/>
                <w:sz w:val="18"/>
                <w:szCs w:val="18"/>
              </w:rPr>
            </w:pPr>
          </w:p>
        </w:tc>
      </w:tr>
      <w:tr w14:paraId="2061C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66" w:type="pct"/>
            <w:shd w:val="clear" w:color="auto" w:fill="D3D3D3"/>
            <w:vAlign w:val="center"/>
          </w:tcPr>
          <w:p w14:paraId="33C32E09">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长期应收款</w:t>
            </w:r>
          </w:p>
        </w:tc>
        <w:tc>
          <w:tcPr>
            <w:tcW w:w="1666" w:type="pct"/>
            <w:vAlign w:val="center"/>
          </w:tcPr>
          <w:p w14:paraId="68162462">
            <w:pPr>
              <w:spacing w:before="0" w:after="0" w:line="240" w:lineRule="exact"/>
              <w:jc w:val="right"/>
              <w:rPr>
                <w:rFonts w:ascii="宋体" w:hAnsi="宋体" w:eastAsia="宋体" w:cs="宋体"/>
                <w:sz w:val="18"/>
                <w:szCs w:val="18"/>
              </w:rPr>
            </w:pPr>
          </w:p>
        </w:tc>
        <w:tc>
          <w:tcPr>
            <w:tcW w:w="1666" w:type="pct"/>
            <w:vAlign w:val="center"/>
          </w:tcPr>
          <w:p w14:paraId="6650A869">
            <w:pPr>
              <w:spacing w:before="0" w:after="0" w:line="240" w:lineRule="exact"/>
              <w:jc w:val="right"/>
              <w:rPr>
                <w:rFonts w:ascii="宋体" w:hAnsi="宋体" w:eastAsia="宋体" w:cs="宋体"/>
                <w:sz w:val="18"/>
                <w:szCs w:val="18"/>
              </w:rPr>
            </w:pPr>
          </w:p>
        </w:tc>
      </w:tr>
      <w:tr w14:paraId="272FA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66" w:type="pct"/>
            <w:shd w:val="clear" w:color="auto" w:fill="D3D3D3"/>
            <w:vAlign w:val="center"/>
          </w:tcPr>
          <w:p w14:paraId="6DCD84D5">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长期股权投资</w:t>
            </w:r>
          </w:p>
        </w:tc>
        <w:tc>
          <w:tcPr>
            <w:tcW w:w="1666" w:type="pct"/>
            <w:vAlign w:val="center"/>
          </w:tcPr>
          <w:p w14:paraId="4C00F423">
            <w:pPr>
              <w:spacing w:before="0" w:after="0" w:line="240" w:lineRule="exact"/>
              <w:jc w:val="right"/>
              <w:rPr>
                <w:rFonts w:ascii="宋体" w:hAnsi="宋体" w:eastAsia="宋体" w:cs="宋体"/>
                <w:sz w:val="18"/>
                <w:szCs w:val="18"/>
              </w:rPr>
            </w:pPr>
            <w:r>
              <w:rPr>
                <w:rFonts w:ascii="宋体" w:hAnsi="宋体" w:eastAsia="宋体" w:cs="宋体"/>
                <w:sz w:val="18"/>
                <w:szCs w:val="18"/>
              </w:rPr>
              <w:t>834,291.50</w:t>
            </w:r>
          </w:p>
        </w:tc>
        <w:tc>
          <w:tcPr>
            <w:tcW w:w="1666" w:type="pct"/>
            <w:vAlign w:val="center"/>
          </w:tcPr>
          <w:p w14:paraId="1D9FD57E">
            <w:pPr>
              <w:spacing w:before="0" w:after="0" w:line="240" w:lineRule="exact"/>
              <w:jc w:val="right"/>
              <w:rPr>
                <w:rFonts w:ascii="宋体" w:hAnsi="宋体" w:eastAsia="宋体" w:cs="宋体"/>
                <w:sz w:val="18"/>
                <w:szCs w:val="18"/>
              </w:rPr>
            </w:pPr>
            <w:r>
              <w:rPr>
                <w:rFonts w:ascii="宋体" w:hAnsi="宋体" w:eastAsia="宋体" w:cs="宋体"/>
                <w:sz w:val="18"/>
                <w:szCs w:val="18"/>
              </w:rPr>
              <w:t>2,898,179.03</w:t>
            </w:r>
          </w:p>
        </w:tc>
      </w:tr>
      <w:tr w14:paraId="64C4F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66" w:type="pct"/>
            <w:shd w:val="clear" w:color="auto" w:fill="D3D3D3"/>
            <w:vAlign w:val="center"/>
          </w:tcPr>
          <w:p w14:paraId="19D2675D">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其他权益工具投资</w:t>
            </w:r>
          </w:p>
        </w:tc>
        <w:tc>
          <w:tcPr>
            <w:tcW w:w="1666" w:type="pct"/>
            <w:vAlign w:val="center"/>
          </w:tcPr>
          <w:p w14:paraId="01D44986">
            <w:pPr>
              <w:spacing w:before="0" w:after="0" w:line="240" w:lineRule="exact"/>
              <w:jc w:val="right"/>
              <w:rPr>
                <w:rFonts w:ascii="宋体" w:hAnsi="宋体" w:eastAsia="宋体" w:cs="宋体"/>
                <w:sz w:val="18"/>
                <w:szCs w:val="18"/>
              </w:rPr>
            </w:pPr>
          </w:p>
        </w:tc>
        <w:tc>
          <w:tcPr>
            <w:tcW w:w="1666" w:type="pct"/>
            <w:vAlign w:val="center"/>
          </w:tcPr>
          <w:p w14:paraId="190DA5E7">
            <w:pPr>
              <w:spacing w:before="0" w:after="0" w:line="240" w:lineRule="exact"/>
              <w:jc w:val="right"/>
              <w:rPr>
                <w:rFonts w:ascii="宋体" w:hAnsi="宋体" w:eastAsia="宋体" w:cs="宋体"/>
                <w:sz w:val="18"/>
                <w:szCs w:val="18"/>
              </w:rPr>
            </w:pPr>
          </w:p>
        </w:tc>
      </w:tr>
      <w:tr w14:paraId="15F3F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66" w:type="pct"/>
            <w:shd w:val="clear" w:color="auto" w:fill="D3D3D3"/>
            <w:vAlign w:val="center"/>
          </w:tcPr>
          <w:p w14:paraId="38A23C18">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其他非流动金融资产</w:t>
            </w:r>
          </w:p>
        </w:tc>
        <w:tc>
          <w:tcPr>
            <w:tcW w:w="1666" w:type="pct"/>
            <w:vAlign w:val="center"/>
          </w:tcPr>
          <w:p w14:paraId="66D64A66">
            <w:pPr>
              <w:spacing w:before="0" w:after="0" w:line="240" w:lineRule="exact"/>
              <w:jc w:val="right"/>
              <w:rPr>
                <w:rFonts w:ascii="宋体" w:hAnsi="宋体" w:eastAsia="宋体" w:cs="宋体"/>
                <w:sz w:val="18"/>
                <w:szCs w:val="18"/>
              </w:rPr>
            </w:pPr>
            <w:r>
              <w:rPr>
                <w:rFonts w:ascii="宋体" w:hAnsi="宋体" w:eastAsia="宋体" w:cs="宋体"/>
                <w:sz w:val="18"/>
                <w:szCs w:val="18"/>
              </w:rPr>
              <w:t>5,449,725.94</w:t>
            </w:r>
          </w:p>
        </w:tc>
        <w:tc>
          <w:tcPr>
            <w:tcW w:w="1666" w:type="pct"/>
            <w:vAlign w:val="center"/>
          </w:tcPr>
          <w:p w14:paraId="6D6CF0E0">
            <w:pPr>
              <w:spacing w:before="0" w:after="0" w:line="240" w:lineRule="exact"/>
              <w:jc w:val="right"/>
              <w:rPr>
                <w:rFonts w:ascii="宋体" w:hAnsi="宋体" w:eastAsia="宋体" w:cs="宋体"/>
                <w:sz w:val="18"/>
                <w:szCs w:val="18"/>
              </w:rPr>
            </w:pPr>
            <w:r>
              <w:rPr>
                <w:rFonts w:ascii="宋体" w:hAnsi="宋体" w:eastAsia="宋体" w:cs="宋体"/>
                <w:sz w:val="18"/>
                <w:szCs w:val="18"/>
              </w:rPr>
              <w:t>5,449,725.94</w:t>
            </w:r>
          </w:p>
        </w:tc>
      </w:tr>
      <w:tr w14:paraId="55563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66" w:type="pct"/>
            <w:shd w:val="clear" w:color="auto" w:fill="D3D3D3"/>
            <w:vAlign w:val="center"/>
          </w:tcPr>
          <w:p w14:paraId="5EC3FE57">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投资性房地产</w:t>
            </w:r>
          </w:p>
        </w:tc>
        <w:tc>
          <w:tcPr>
            <w:tcW w:w="1666" w:type="pct"/>
            <w:vAlign w:val="center"/>
          </w:tcPr>
          <w:p w14:paraId="6F825BB8">
            <w:pPr>
              <w:spacing w:before="0" w:after="0" w:line="240" w:lineRule="exact"/>
              <w:jc w:val="right"/>
              <w:rPr>
                <w:rFonts w:ascii="宋体" w:hAnsi="宋体" w:eastAsia="宋体" w:cs="宋体"/>
                <w:sz w:val="18"/>
                <w:szCs w:val="18"/>
              </w:rPr>
            </w:pPr>
            <w:r>
              <w:rPr>
                <w:rFonts w:ascii="宋体" w:hAnsi="宋体" w:eastAsia="宋体" w:cs="宋体"/>
                <w:sz w:val="18"/>
                <w:szCs w:val="18"/>
              </w:rPr>
              <w:t>8,226,007.37</w:t>
            </w:r>
          </w:p>
        </w:tc>
        <w:tc>
          <w:tcPr>
            <w:tcW w:w="1666" w:type="pct"/>
            <w:vAlign w:val="center"/>
          </w:tcPr>
          <w:p w14:paraId="156F1B72">
            <w:pPr>
              <w:spacing w:before="0" w:after="0" w:line="240" w:lineRule="exact"/>
              <w:jc w:val="right"/>
              <w:rPr>
                <w:rFonts w:ascii="宋体" w:hAnsi="宋体" w:eastAsia="宋体" w:cs="宋体"/>
                <w:sz w:val="18"/>
                <w:szCs w:val="18"/>
              </w:rPr>
            </w:pPr>
            <w:r>
              <w:rPr>
                <w:rFonts w:ascii="宋体" w:hAnsi="宋体" w:eastAsia="宋体" w:cs="宋体"/>
                <w:sz w:val="18"/>
                <w:szCs w:val="18"/>
              </w:rPr>
              <w:t>8,333,772.95</w:t>
            </w:r>
          </w:p>
        </w:tc>
      </w:tr>
      <w:tr w14:paraId="7C49F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66" w:type="pct"/>
            <w:shd w:val="clear" w:color="auto" w:fill="D3D3D3"/>
            <w:vAlign w:val="center"/>
          </w:tcPr>
          <w:p w14:paraId="54B2A11F">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固定资产</w:t>
            </w:r>
          </w:p>
        </w:tc>
        <w:tc>
          <w:tcPr>
            <w:tcW w:w="1666" w:type="pct"/>
            <w:vAlign w:val="center"/>
          </w:tcPr>
          <w:p w14:paraId="4322BDA0">
            <w:pPr>
              <w:spacing w:before="0" w:after="0" w:line="240" w:lineRule="exact"/>
              <w:jc w:val="right"/>
              <w:rPr>
                <w:rFonts w:ascii="宋体" w:hAnsi="宋体" w:eastAsia="宋体" w:cs="宋体"/>
                <w:sz w:val="18"/>
                <w:szCs w:val="18"/>
              </w:rPr>
            </w:pPr>
            <w:r>
              <w:rPr>
                <w:rFonts w:ascii="宋体" w:hAnsi="宋体" w:eastAsia="宋体" w:cs="宋体"/>
                <w:sz w:val="18"/>
                <w:szCs w:val="18"/>
              </w:rPr>
              <w:t>31,440,330.15</w:t>
            </w:r>
          </w:p>
        </w:tc>
        <w:tc>
          <w:tcPr>
            <w:tcW w:w="1666" w:type="pct"/>
            <w:vAlign w:val="center"/>
          </w:tcPr>
          <w:p w14:paraId="76ADD26F">
            <w:pPr>
              <w:spacing w:before="0" w:after="0" w:line="240" w:lineRule="exact"/>
              <w:jc w:val="right"/>
              <w:rPr>
                <w:rFonts w:ascii="宋体" w:hAnsi="宋体" w:eastAsia="宋体" w:cs="宋体"/>
                <w:sz w:val="18"/>
                <w:szCs w:val="18"/>
              </w:rPr>
            </w:pPr>
            <w:r>
              <w:rPr>
                <w:rFonts w:ascii="宋体" w:hAnsi="宋体" w:eastAsia="宋体" w:cs="宋体"/>
                <w:sz w:val="18"/>
                <w:szCs w:val="18"/>
              </w:rPr>
              <w:t>29,351,826.05</w:t>
            </w:r>
          </w:p>
        </w:tc>
      </w:tr>
      <w:tr w14:paraId="6D95A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66" w:type="pct"/>
            <w:shd w:val="clear" w:color="auto" w:fill="D3D3D3"/>
            <w:vAlign w:val="center"/>
          </w:tcPr>
          <w:p w14:paraId="5645FBC3">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在建工程</w:t>
            </w:r>
          </w:p>
        </w:tc>
        <w:tc>
          <w:tcPr>
            <w:tcW w:w="1666" w:type="pct"/>
            <w:vAlign w:val="center"/>
          </w:tcPr>
          <w:p w14:paraId="472BAC3C">
            <w:pPr>
              <w:spacing w:before="0" w:after="0" w:line="240" w:lineRule="exact"/>
              <w:jc w:val="right"/>
              <w:rPr>
                <w:rFonts w:ascii="宋体" w:hAnsi="宋体" w:eastAsia="宋体" w:cs="宋体"/>
                <w:sz w:val="18"/>
                <w:szCs w:val="18"/>
              </w:rPr>
            </w:pPr>
            <w:r>
              <w:rPr>
                <w:rFonts w:ascii="宋体" w:hAnsi="宋体" w:eastAsia="宋体" w:cs="宋体"/>
                <w:sz w:val="18"/>
                <w:szCs w:val="18"/>
              </w:rPr>
              <w:t>322,925.26</w:t>
            </w:r>
          </w:p>
        </w:tc>
        <w:tc>
          <w:tcPr>
            <w:tcW w:w="1666" w:type="pct"/>
            <w:vAlign w:val="center"/>
          </w:tcPr>
          <w:p w14:paraId="17B6CA2D">
            <w:pPr>
              <w:spacing w:before="0" w:after="0" w:line="240" w:lineRule="exact"/>
              <w:jc w:val="right"/>
              <w:rPr>
                <w:rFonts w:ascii="宋体" w:hAnsi="宋体" w:eastAsia="宋体" w:cs="宋体"/>
                <w:sz w:val="18"/>
                <w:szCs w:val="18"/>
              </w:rPr>
            </w:pPr>
            <w:r>
              <w:rPr>
                <w:rFonts w:ascii="宋体" w:hAnsi="宋体" w:eastAsia="宋体" w:cs="宋体"/>
                <w:sz w:val="18"/>
                <w:szCs w:val="18"/>
              </w:rPr>
              <w:t>1,382,217.29</w:t>
            </w:r>
          </w:p>
        </w:tc>
      </w:tr>
      <w:tr w14:paraId="3A8C6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66" w:type="pct"/>
            <w:shd w:val="clear" w:color="auto" w:fill="D3D3D3"/>
            <w:vAlign w:val="center"/>
          </w:tcPr>
          <w:p w14:paraId="75B5BA5A">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生产性生物资产</w:t>
            </w:r>
          </w:p>
        </w:tc>
        <w:tc>
          <w:tcPr>
            <w:tcW w:w="1666" w:type="pct"/>
            <w:vAlign w:val="center"/>
          </w:tcPr>
          <w:p w14:paraId="58C965F3">
            <w:pPr>
              <w:spacing w:before="0" w:after="0" w:line="240" w:lineRule="exact"/>
              <w:jc w:val="right"/>
              <w:rPr>
                <w:rFonts w:ascii="宋体" w:hAnsi="宋体" w:eastAsia="宋体" w:cs="宋体"/>
                <w:sz w:val="18"/>
                <w:szCs w:val="18"/>
              </w:rPr>
            </w:pPr>
          </w:p>
        </w:tc>
        <w:tc>
          <w:tcPr>
            <w:tcW w:w="1666" w:type="pct"/>
            <w:vAlign w:val="center"/>
          </w:tcPr>
          <w:p w14:paraId="7446D6B2">
            <w:pPr>
              <w:spacing w:before="0" w:after="0" w:line="240" w:lineRule="exact"/>
              <w:jc w:val="right"/>
              <w:rPr>
                <w:rFonts w:ascii="宋体" w:hAnsi="宋体" w:eastAsia="宋体" w:cs="宋体"/>
                <w:sz w:val="18"/>
                <w:szCs w:val="18"/>
              </w:rPr>
            </w:pPr>
          </w:p>
        </w:tc>
      </w:tr>
      <w:tr w14:paraId="175EC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66" w:type="pct"/>
            <w:shd w:val="clear" w:color="auto" w:fill="D3D3D3"/>
            <w:vAlign w:val="center"/>
          </w:tcPr>
          <w:p w14:paraId="35417102">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油气资产</w:t>
            </w:r>
          </w:p>
        </w:tc>
        <w:tc>
          <w:tcPr>
            <w:tcW w:w="1666" w:type="pct"/>
            <w:vAlign w:val="center"/>
          </w:tcPr>
          <w:p w14:paraId="79C6630D">
            <w:pPr>
              <w:spacing w:before="0" w:after="0" w:line="240" w:lineRule="exact"/>
              <w:jc w:val="right"/>
              <w:rPr>
                <w:rFonts w:ascii="宋体" w:hAnsi="宋体" w:eastAsia="宋体" w:cs="宋体"/>
                <w:sz w:val="18"/>
                <w:szCs w:val="18"/>
              </w:rPr>
            </w:pPr>
          </w:p>
        </w:tc>
        <w:tc>
          <w:tcPr>
            <w:tcW w:w="1666" w:type="pct"/>
            <w:vAlign w:val="center"/>
          </w:tcPr>
          <w:p w14:paraId="057C10B6">
            <w:pPr>
              <w:spacing w:before="0" w:after="0" w:line="240" w:lineRule="exact"/>
              <w:jc w:val="right"/>
              <w:rPr>
                <w:rFonts w:ascii="宋体" w:hAnsi="宋体" w:eastAsia="宋体" w:cs="宋体"/>
                <w:sz w:val="18"/>
                <w:szCs w:val="18"/>
              </w:rPr>
            </w:pPr>
          </w:p>
        </w:tc>
      </w:tr>
      <w:tr w14:paraId="5C2E7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66" w:type="pct"/>
            <w:shd w:val="clear" w:color="auto" w:fill="D3D3D3"/>
            <w:vAlign w:val="center"/>
          </w:tcPr>
          <w:p w14:paraId="14EFF6FA">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使用权资产</w:t>
            </w:r>
          </w:p>
        </w:tc>
        <w:tc>
          <w:tcPr>
            <w:tcW w:w="1666" w:type="pct"/>
            <w:vAlign w:val="center"/>
          </w:tcPr>
          <w:p w14:paraId="55BDA21B">
            <w:pPr>
              <w:spacing w:before="0" w:after="0" w:line="240" w:lineRule="exact"/>
              <w:jc w:val="right"/>
              <w:rPr>
                <w:rFonts w:ascii="宋体" w:hAnsi="宋体" w:eastAsia="宋体" w:cs="宋体"/>
                <w:sz w:val="18"/>
                <w:szCs w:val="18"/>
              </w:rPr>
            </w:pPr>
          </w:p>
        </w:tc>
        <w:tc>
          <w:tcPr>
            <w:tcW w:w="1666" w:type="pct"/>
            <w:vAlign w:val="center"/>
          </w:tcPr>
          <w:p w14:paraId="6FF87406">
            <w:pPr>
              <w:spacing w:before="0" w:after="0" w:line="240" w:lineRule="exact"/>
              <w:jc w:val="right"/>
              <w:rPr>
                <w:rFonts w:ascii="宋体" w:hAnsi="宋体" w:eastAsia="宋体" w:cs="宋体"/>
                <w:sz w:val="18"/>
                <w:szCs w:val="18"/>
              </w:rPr>
            </w:pPr>
          </w:p>
        </w:tc>
      </w:tr>
      <w:tr w14:paraId="31CF6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66" w:type="pct"/>
            <w:shd w:val="clear" w:color="auto" w:fill="D3D3D3"/>
            <w:vAlign w:val="center"/>
          </w:tcPr>
          <w:p w14:paraId="0D840ABD">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无形资产</w:t>
            </w:r>
          </w:p>
        </w:tc>
        <w:tc>
          <w:tcPr>
            <w:tcW w:w="1666" w:type="pct"/>
            <w:vAlign w:val="center"/>
          </w:tcPr>
          <w:p w14:paraId="01D9895A">
            <w:pPr>
              <w:spacing w:before="0" w:after="0" w:line="240" w:lineRule="exact"/>
              <w:jc w:val="right"/>
              <w:rPr>
                <w:rFonts w:ascii="宋体" w:hAnsi="宋体" w:eastAsia="宋体" w:cs="宋体"/>
                <w:sz w:val="18"/>
                <w:szCs w:val="18"/>
              </w:rPr>
            </w:pPr>
            <w:r>
              <w:rPr>
                <w:rFonts w:ascii="宋体" w:hAnsi="宋体" w:eastAsia="宋体" w:cs="宋体"/>
                <w:sz w:val="18"/>
                <w:szCs w:val="18"/>
              </w:rPr>
              <w:t>14,279,324.45</w:t>
            </w:r>
          </w:p>
        </w:tc>
        <w:tc>
          <w:tcPr>
            <w:tcW w:w="1666" w:type="pct"/>
            <w:vAlign w:val="center"/>
          </w:tcPr>
          <w:p w14:paraId="7805AE72">
            <w:pPr>
              <w:spacing w:before="0" w:after="0" w:line="240" w:lineRule="exact"/>
              <w:jc w:val="right"/>
              <w:rPr>
                <w:rFonts w:ascii="宋体" w:hAnsi="宋体" w:eastAsia="宋体" w:cs="宋体"/>
                <w:sz w:val="18"/>
                <w:szCs w:val="18"/>
              </w:rPr>
            </w:pPr>
            <w:r>
              <w:rPr>
                <w:rFonts w:ascii="宋体" w:hAnsi="宋体" w:eastAsia="宋体" w:cs="宋体"/>
                <w:sz w:val="18"/>
                <w:szCs w:val="18"/>
              </w:rPr>
              <w:t>14,510,757.56</w:t>
            </w:r>
          </w:p>
        </w:tc>
      </w:tr>
      <w:tr w14:paraId="0E144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66" w:type="pct"/>
            <w:shd w:val="clear" w:color="auto" w:fill="D3D3D3"/>
            <w:vAlign w:val="center"/>
          </w:tcPr>
          <w:p w14:paraId="46D46197">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其中：数据资源</w:t>
            </w:r>
          </w:p>
        </w:tc>
        <w:tc>
          <w:tcPr>
            <w:tcW w:w="1666" w:type="pct"/>
            <w:vAlign w:val="center"/>
          </w:tcPr>
          <w:p w14:paraId="1043893B">
            <w:pPr>
              <w:spacing w:before="0" w:after="0" w:line="240" w:lineRule="exact"/>
              <w:jc w:val="right"/>
              <w:rPr>
                <w:rFonts w:ascii="宋体" w:hAnsi="宋体" w:eastAsia="宋体" w:cs="宋体"/>
                <w:sz w:val="18"/>
                <w:szCs w:val="18"/>
              </w:rPr>
            </w:pPr>
          </w:p>
        </w:tc>
        <w:tc>
          <w:tcPr>
            <w:tcW w:w="1666" w:type="pct"/>
            <w:vAlign w:val="center"/>
          </w:tcPr>
          <w:p w14:paraId="6A61687F">
            <w:pPr>
              <w:spacing w:before="0" w:after="0" w:line="240" w:lineRule="exact"/>
              <w:jc w:val="right"/>
              <w:rPr>
                <w:rFonts w:ascii="宋体" w:hAnsi="宋体" w:eastAsia="宋体" w:cs="宋体"/>
                <w:sz w:val="18"/>
                <w:szCs w:val="18"/>
              </w:rPr>
            </w:pPr>
          </w:p>
        </w:tc>
      </w:tr>
      <w:tr w14:paraId="4439B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66" w:type="pct"/>
            <w:shd w:val="clear" w:color="auto" w:fill="D3D3D3"/>
            <w:vAlign w:val="center"/>
          </w:tcPr>
          <w:p w14:paraId="29EBFECC">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开发支出</w:t>
            </w:r>
          </w:p>
        </w:tc>
        <w:tc>
          <w:tcPr>
            <w:tcW w:w="1666" w:type="pct"/>
            <w:vAlign w:val="center"/>
          </w:tcPr>
          <w:p w14:paraId="489A68BC">
            <w:pPr>
              <w:spacing w:before="0" w:after="0" w:line="240" w:lineRule="exact"/>
              <w:jc w:val="right"/>
              <w:rPr>
                <w:rFonts w:ascii="宋体" w:hAnsi="宋体" w:eastAsia="宋体" w:cs="宋体"/>
                <w:sz w:val="18"/>
                <w:szCs w:val="18"/>
              </w:rPr>
            </w:pPr>
          </w:p>
        </w:tc>
        <w:tc>
          <w:tcPr>
            <w:tcW w:w="1666" w:type="pct"/>
            <w:vAlign w:val="center"/>
          </w:tcPr>
          <w:p w14:paraId="64B32E19">
            <w:pPr>
              <w:spacing w:before="0" w:after="0" w:line="240" w:lineRule="exact"/>
              <w:jc w:val="right"/>
              <w:rPr>
                <w:rFonts w:ascii="宋体" w:hAnsi="宋体" w:eastAsia="宋体" w:cs="宋体"/>
                <w:sz w:val="18"/>
                <w:szCs w:val="18"/>
              </w:rPr>
            </w:pPr>
          </w:p>
        </w:tc>
      </w:tr>
      <w:tr w14:paraId="0B2C7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66" w:type="pct"/>
            <w:shd w:val="clear" w:color="auto" w:fill="D3D3D3"/>
            <w:vAlign w:val="center"/>
          </w:tcPr>
          <w:p w14:paraId="33DB56B2">
            <w:pPr>
              <w:spacing w:before="40" w:after="4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其中：数据资源</w:t>
            </w:r>
          </w:p>
        </w:tc>
        <w:tc>
          <w:tcPr>
            <w:tcW w:w="1666" w:type="pct"/>
            <w:vAlign w:val="center"/>
          </w:tcPr>
          <w:p w14:paraId="52E4FE25">
            <w:pPr>
              <w:spacing w:before="0" w:after="0" w:line="240" w:lineRule="exact"/>
              <w:jc w:val="right"/>
              <w:rPr>
                <w:rFonts w:ascii="宋体" w:hAnsi="宋体" w:eastAsia="宋体" w:cs="宋体"/>
                <w:sz w:val="18"/>
                <w:szCs w:val="18"/>
              </w:rPr>
            </w:pPr>
          </w:p>
        </w:tc>
        <w:tc>
          <w:tcPr>
            <w:tcW w:w="1666" w:type="pct"/>
            <w:vAlign w:val="center"/>
          </w:tcPr>
          <w:p w14:paraId="17A83AE5">
            <w:pPr>
              <w:spacing w:before="0" w:after="0" w:line="240" w:lineRule="exact"/>
              <w:jc w:val="right"/>
              <w:rPr>
                <w:rFonts w:ascii="宋体" w:hAnsi="宋体" w:eastAsia="宋体" w:cs="宋体"/>
                <w:sz w:val="18"/>
                <w:szCs w:val="18"/>
              </w:rPr>
            </w:pPr>
          </w:p>
        </w:tc>
      </w:tr>
      <w:tr w14:paraId="1C69C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66" w:type="pct"/>
            <w:shd w:val="clear" w:color="auto" w:fill="D3D3D3"/>
            <w:vAlign w:val="center"/>
          </w:tcPr>
          <w:p w14:paraId="06F749FB">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商誉</w:t>
            </w:r>
          </w:p>
        </w:tc>
        <w:tc>
          <w:tcPr>
            <w:tcW w:w="1666" w:type="pct"/>
            <w:vAlign w:val="center"/>
          </w:tcPr>
          <w:p w14:paraId="1D58BFDF">
            <w:pPr>
              <w:spacing w:before="0" w:after="0" w:line="240" w:lineRule="exact"/>
              <w:jc w:val="right"/>
              <w:rPr>
                <w:rFonts w:ascii="宋体" w:hAnsi="宋体" w:eastAsia="宋体" w:cs="宋体"/>
                <w:sz w:val="18"/>
                <w:szCs w:val="18"/>
              </w:rPr>
            </w:pPr>
          </w:p>
        </w:tc>
        <w:tc>
          <w:tcPr>
            <w:tcW w:w="1666" w:type="pct"/>
            <w:vAlign w:val="center"/>
          </w:tcPr>
          <w:p w14:paraId="103371FA">
            <w:pPr>
              <w:spacing w:before="0" w:after="0" w:line="240" w:lineRule="exact"/>
              <w:jc w:val="right"/>
              <w:rPr>
                <w:rFonts w:ascii="宋体" w:hAnsi="宋体" w:eastAsia="宋体" w:cs="宋体"/>
                <w:sz w:val="18"/>
                <w:szCs w:val="18"/>
              </w:rPr>
            </w:pPr>
          </w:p>
        </w:tc>
      </w:tr>
      <w:tr w14:paraId="63E11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66" w:type="pct"/>
            <w:shd w:val="clear" w:color="auto" w:fill="D3D3D3"/>
            <w:vAlign w:val="center"/>
          </w:tcPr>
          <w:p w14:paraId="085DC5B5">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长期待摊费用</w:t>
            </w:r>
          </w:p>
        </w:tc>
        <w:tc>
          <w:tcPr>
            <w:tcW w:w="1666" w:type="pct"/>
            <w:vAlign w:val="center"/>
          </w:tcPr>
          <w:p w14:paraId="11D09B6B">
            <w:pPr>
              <w:spacing w:before="0" w:after="0" w:line="240" w:lineRule="exact"/>
              <w:jc w:val="right"/>
              <w:rPr>
                <w:rFonts w:ascii="宋体" w:hAnsi="宋体" w:eastAsia="宋体" w:cs="宋体"/>
                <w:sz w:val="18"/>
                <w:szCs w:val="18"/>
              </w:rPr>
            </w:pPr>
          </w:p>
        </w:tc>
        <w:tc>
          <w:tcPr>
            <w:tcW w:w="1666" w:type="pct"/>
            <w:vAlign w:val="center"/>
          </w:tcPr>
          <w:p w14:paraId="74E3DBD5">
            <w:pPr>
              <w:spacing w:before="0" w:after="0" w:line="240" w:lineRule="exact"/>
              <w:jc w:val="right"/>
              <w:rPr>
                <w:rFonts w:ascii="宋体" w:hAnsi="宋体" w:eastAsia="宋体" w:cs="宋体"/>
                <w:sz w:val="18"/>
                <w:szCs w:val="18"/>
              </w:rPr>
            </w:pPr>
          </w:p>
        </w:tc>
      </w:tr>
      <w:tr w14:paraId="04F06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66" w:type="pct"/>
            <w:shd w:val="clear" w:color="auto" w:fill="D3D3D3"/>
            <w:vAlign w:val="center"/>
          </w:tcPr>
          <w:p w14:paraId="6E7586E7">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递延所得税资产</w:t>
            </w:r>
          </w:p>
        </w:tc>
        <w:tc>
          <w:tcPr>
            <w:tcW w:w="1666" w:type="pct"/>
            <w:vAlign w:val="center"/>
          </w:tcPr>
          <w:p w14:paraId="05492F87">
            <w:pPr>
              <w:spacing w:before="0" w:after="0" w:line="240" w:lineRule="exact"/>
              <w:jc w:val="right"/>
              <w:rPr>
                <w:rFonts w:ascii="宋体" w:hAnsi="宋体" w:eastAsia="宋体" w:cs="宋体"/>
                <w:sz w:val="18"/>
                <w:szCs w:val="18"/>
              </w:rPr>
            </w:pPr>
            <w:r>
              <w:rPr>
                <w:rFonts w:ascii="宋体" w:hAnsi="宋体" w:eastAsia="宋体" w:cs="宋体"/>
                <w:sz w:val="18"/>
                <w:szCs w:val="18"/>
              </w:rPr>
              <w:t>7,569,828.95</w:t>
            </w:r>
          </w:p>
        </w:tc>
        <w:tc>
          <w:tcPr>
            <w:tcW w:w="1666" w:type="pct"/>
            <w:vAlign w:val="center"/>
          </w:tcPr>
          <w:p w14:paraId="266C2BBB">
            <w:pPr>
              <w:spacing w:before="0" w:after="0" w:line="240" w:lineRule="exact"/>
              <w:jc w:val="right"/>
              <w:rPr>
                <w:rFonts w:ascii="宋体" w:hAnsi="宋体" w:eastAsia="宋体" w:cs="宋体"/>
                <w:sz w:val="18"/>
                <w:szCs w:val="18"/>
              </w:rPr>
            </w:pPr>
            <w:r>
              <w:rPr>
                <w:rFonts w:ascii="宋体" w:hAnsi="宋体" w:eastAsia="宋体" w:cs="宋体"/>
                <w:sz w:val="18"/>
                <w:szCs w:val="18"/>
              </w:rPr>
              <w:t>7,833,908.49</w:t>
            </w:r>
          </w:p>
        </w:tc>
      </w:tr>
      <w:tr w14:paraId="04B76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66" w:type="pct"/>
            <w:shd w:val="clear" w:color="auto" w:fill="D3D3D3"/>
            <w:vAlign w:val="center"/>
          </w:tcPr>
          <w:p w14:paraId="5E753855">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其他非流动资产</w:t>
            </w:r>
          </w:p>
        </w:tc>
        <w:tc>
          <w:tcPr>
            <w:tcW w:w="1666" w:type="pct"/>
            <w:vAlign w:val="center"/>
          </w:tcPr>
          <w:p w14:paraId="66D8D629">
            <w:pPr>
              <w:spacing w:before="0" w:after="0" w:line="240" w:lineRule="exact"/>
              <w:jc w:val="right"/>
              <w:rPr>
                <w:rFonts w:ascii="宋体" w:hAnsi="宋体" w:eastAsia="宋体" w:cs="宋体"/>
                <w:sz w:val="18"/>
                <w:szCs w:val="18"/>
              </w:rPr>
            </w:pPr>
            <w:r>
              <w:rPr>
                <w:rFonts w:ascii="宋体" w:hAnsi="宋体" w:eastAsia="宋体" w:cs="宋体"/>
                <w:sz w:val="18"/>
                <w:szCs w:val="18"/>
              </w:rPr>
              <w:t>2,858,879.96</w:t>
            </w:r>
          </w:p>
        </w:tc>
        <w:tc>
          <w:tcPr>
            <w:tcW w:w="1666" w:type="pct"/>
            <w:vAlign w:val="center"/>
          </w:tcPr>
          <w:p w14:paraId="0DD79FA7">
            <w:pPr>
              <w:spacing w:before="0" w:after="0" w:line="240" w:lineRule="exact"/>
              <w:jc w:val="right"/>
              <w:rPr>
                <w:rFonts w:ascii="宋体" w:hAnsi="宋体" w:eastAsia="宋体" w:cs="宋体"/>
                <w:sz w:val="18"/>
                <w:szCs w:val="18"/>
              </w:rPr>
            </w:pPr>
            <w:r>
              <w:rPr>
                <w:rFonts w:ascii="宋体" w:hAnsi="宋体" w:eastAsia="宋体" w:cs="宋体"/>
                <w:sz w:val="18"/>
                <w:szCs w:val="18"/>
              </w:rPr>
              <w:t>2,858,879.96</w:t>
            </w:r>
          </w:p>
        </w:tc>
      </w:tr>
      <w:tr w14:paraId="42D5A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66" w:type="pct"/>
            <w:shd w:val="clear" w:color="auto" w:fill="D3D3D3"/>
            <w:vAlign w:val="center"/>
          </w:tcPr>
          <w:p w14:paraId="5D4E0DAB">
            <w:pPr>
              <w:spacing w:before="0" w:after="0" w:line="240" w:lineRule="exact"/>
              <w:jc w:val="left"/>
              <w:rPr>
                <w:rFonts w:ascii="宋体" w:hAnsi="宋体" w:eastAsia="宋体" w:cs="宋体"/>
                <w:sz w:val="18"/>
                <w:szCs w:val="18"/>
              </w:rPr>
            </w:pPr>
            <w:r>
              <w:rPr>
                <w:rFonts w:ascii="宋体" w:hAnsi="宋体" w:eastAsia="宋体" w:cs="宋体"/>
                <w:sz w:val="18"/>
                <w:szCs w:val="18"/>
              </w:rPr>
              <w:t>非流动资产合计</w:t>
            </w:r>
          </w:p>
        </w:tc>
        <w:tc>
          <w:tcPr>
            <w:tcW w:w="1666" w:type="pct"/>
            <w:vAlign w:val="center"/>
          </w:tcPr>
          <w:p w14:paraId="372734CE">
            <w:pPr>
              <w:spacing w:before="0" w:after="0" w:line="240" w:lineRule="exact"/>
              <w:jc w:val="right"/>
              <w:rPr>
                <w:rFonts w:ascii="宋体" w:hAnsi="宋体" w:eastAsia="宋体" w:cs="宋体"/>
                <w:sz w:val="18"/>
                <w:szCs w:val="18"/>
              </w:rPr>
            </w:pPr>
            <w:r>
              <w:rPr>
                <w:rFonts w:ascii="宋体" w:hAnsi="宋体" w:eastAsia="宋体" w:cs="宋体"/>
                <w:sz w:val="18"/>
                <w:szCs w:val="18"/>
              </w:rPr>
              <w:t>338,836,288.91</w:t>
            </w:r>
          </w:p>
        </w:tc>
        <w:tc>
          <w:tcPr>
            <w:tcW w:w="1666" w:type="pct"/>
            <w:vAlign w:val="center"/>
          </w:tcPr>
          <w:p w14:paraId="5E786DF4">
            <w:pPr>
              <w:spacing w:before="0" w:after="0" w:line="240" w:lineRule="exact"/>
              <w:jc w:val="right"/>
              <w:rPr>
                <w:rFonts w:ascii="宋体" w:hAnsi="宋体" w:eastAsia="宋体" w:cs="宋体"/>
                <w:sz w:val="18"/>
                <w:szCs w:val="18"/>
              </w:rPr>
            </w:pPr>
            <w:r>
              <w:rPr>
                <w:rFonts w:ascii="宋体" w:hAnsi="宋体" w:eastAsia="宋体" w:cs="宋体"/>
                <w:sz w:val="18"/>
                <w:szCs w:val="18"/>
              </w:rPr>
              <w:t>338,878,406.97</w:t>
            </w:r>
          </w:p>
        </w:tc>
      </w:tr>
      <w:tr w14:paraId="78218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66" w:type="pct"/>
            <w:shd w:val="clear" w:color="auto" w:fill="D3D3D3"/>
            <w:vAlign w:val="center"/>
          </w:tcPr>
          <w:p w14:paraId="6A739CCB">
            <w:pPr>
              <w:spacing w:before="0" w:after="0" w:line="240" w:lineRule="exact"/>
              <w:jc w:val="left"/>
              <w:rPr>
                <w:rFonts w:ascii="宋体" w:hAnsi="宋体" w:eastAsia="宋体" w:cs="宋体"/>
                <w:sz w:val="18"/>
                <w:szCs w:val="18"/>
              </w:rPr>
            </w:pPr>
            <w:r>
              <w:rPr>
                <w:rFonts w:ascii="宋体" w:hAnsi="宋体" w:eastAsia="宋体" w:cs="宋体"/>
                <w:sz w:val="18"/>
                <w:szCs w:val="18"/>
              </w:rPr>
              <w:t>资产总计</w:t>
            </w:r>
          </w:p>
        </w:tc>
        <w:tc>
          <w:tcPr>
            <w:tcW w:w="1666" w:type="pct"/>
            <w:vAlign w:val="center"/>
          </w:tcPr>
          <w:p w14:paraId="78F00B3C">
            <w:pPr>
              <w:spacing w:before="0" w:after="0" w:line="240" w:lineRule="exact"/>
              <w:jc w:val="right"/>
              <w:rPr>
                <w:rFonts w:ascii="宋体" w:hAnsi="宋体" w:eastAsia="宋体" w:cs="宋体"/>
                <w:sz w:val="18"/>
                <w:szCs w:val="18"/>
              </w:rPr>
            </w:pPr>
            <w:r>
              <w:rPr>
                <w:rFonts w:ascii="宋体" w:hAnsi="宋体" w:eastAsia="宋体" w:cs="宋体"/>
                <w:sz w:val="18"/>
                <w:szCs w:val="18"/>
              </w:rPr>
              <w:t>1,141,620,212.53</w:t>
            </w:r>
          </w:p>
        </w:tc>
        <w:tc>
          <w:tcPr>
            <w:tcW w:w="1666" w:type="pct"/>
            <w:vAlign w:val="center"/>
          </w:tcPr>
          <w:p w14:paraId="1307A291">
            <w:pPr>
              <w:spacing w:before="0" w:after="0" w:line="240" w:lineRule="exact"/>
              <w:jc w:val="right"/>
              <w:rPr>
                <w:rFonts w:ascii="宋体" w:hAnsi="宋体" w:eastAsia="宋体" w:cs="宋体"/>
                <w:sz w:val="18"/>
                <w:szCs w:val="18"/>
              </w:rPr>
            </w:pPr>
            <w:r>
              <w:rPr>
                <w:rFonts w:ascii="宋体" w:hAnsi="宋体" w:eastAsia="宋体" w:cs="宋体"/>
                <w:sz w:val="18"/>
                <w:szCs w:val="18"/>
              </w:rPr>
              <w:t>1,153,157,818.30</w:t>
            </w:r>
          </w:p>
        </w:tc>
      </w:tr>
      <w:tr w14:paraId="14463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66" w:type="pct"/>
            <w:shd w:val="clear" w:color="auto" w:fill="D3D3D3"/>
            <w:vAlign w:val="center"/>
          </w:tcPr>
          <w:p w14:paraId="046F5070">
            <w:pPr>
              <w:spacing w:before="0" w:after="0" w:line="240" w:lineRule="exact"/>
              <w:jc w:val="left"/>
              <w:rPr>
                <w:rFonts w:ascii="宋体" w:hAnsi="宋体" w:eastAsia="宋体" w:cs="宋体"/>
                <w:sz w:val="18"/>
                <w:szCs w:val="18"/>
              </w:rPr>
            </w:pPr>
            <w:r>
              <w:rPr>
                <w:rFonts w:ascii="宋体" w:hAnsi="宋体" w:eastAsia="宋体" w:cs="宋体"/>
                <w:sz w:val="18"/>
                <w:szCs w:val="18"/>
              </w:rPr>
              <w:t>流动负债：</w:t>
            </w:r>
          </w:p>
        </w:tc>
        <w:tc>
          <w:tcPr>
            <w:tcW w:w="1666" w:type="pct"/>
            <w:shd w:val="clear" w:color="auto" w:fill="D3D3D3"/>
            <w:vAlign w:val="center"/>
          </w:tcPr>
          <w:p w14:paraId="414FD445"/>
        </w:tc>
        <w:tc>
          <w:tcPr>
            <w:tcW w:w="1666" w:type="pct"/>
            <w:shd w:val="clear" w:color="auto" w:fill="D3D3D3"/>
            <w:vAlign w:val="center"/>
          </w:tcPr>
          <w:p w14:paraId="5B3C25AC"/>
        </w:tc>
      </w:tr>
      <w:tr w14:paraId="28220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66" w:type="pct"/>
            <w:shd w:val="clear" w:color="auto" w:fill="D3D3D3"/>
            <w:vAlign w:val="center"/>
          </w:tcPr>
          <w:p w14:paraId="33D6B563">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短期借款</w:t>
            </w:r>
          </w:p>
        </w:tc>
        <w:tc>
          <w:tcPr>
            <w:tcW w:w="1666" w:type="pct"/>
            <w:vAlign w:val="center"/>
          </w:tcPr>
          <w:p w14:paraId="2EFEB017">
            <w:pPr>
              <w:spacing w:before="0" w:after="0" w:line="240" w:lineRule="exact"/>
              <w:jc w:val="right"/>
              <w:rPr>
                <w:rFonts w:ascii="宋体" w:hAnsi="宋体" w:eastAsia="宋体" w:cs="宋体"/>
                <w:sz w:val="18"/>
                <w:szCs w:val="18"/>
              </w:rPr>
            </w:pPr>
          </w:p>
        </w:tc>
        <w:tc>
          <w:tcPr>
            <w:tcW w:w="1666" w:type="pct"/>
            <w:vAlign w:val="center"/>
          </w:tcPr>
          <w:p w14:paraId="4CD53664">
            <w:pPr>
              <w:spacing w:before="0" w:after="0" w:line="240" w:lineRule="exact"/>
              <w:jc w:val="right"/>
              <w:rPr>
                <w:rFonts w:ascii="宋体" w:hAnsi="宋体" w:eastAsia="宋体" w:cs="宋体"/>
                <w:sz w:val="18"/>
                <w:szCs w:val="18"/>
              </w:rPr>
            </w:pPr>
          </w:p>
        </w:tc>
      </w:tr>
      <w:tr w14:paraId="2EC94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66" w:type="pct"/>
            <w:shd w:val="clear" w:color="auto" w:fill="D3D3D3"/>
            <w:vAlign w:val="center"/>
          </w:tcPr>
          <w:p w14:paraId="32849CC8">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向中央银行借款</w:t>
            </w:r>
          </w:p>
        </w:tc>
        <w:tc>
          <w:tcPr>
            <w:tcW w:w="1666" w:type="pct"/>
            <w:vAlign w:val="center"/>
          </w:tcPr>
          <w:p w14:paraId="12A1917F">
            <w:pPr>
              <w:spacing w:before="0" w:after="0" w:line="240" w:lineRule="exact"/>
              <w:jc w:val="right"/>
              <w:rPr>
                <w:rFonts w:ascii="宋体" w:hAnsi="宋体" w:eastAsia="宋体" w:cs="宋体"/>
                <w:sz w:val="18"/>
                <w:szCs w:val="18"/>
              </w:rPr>
            </w:pPr>
          </w:p>
        </w:tc>
        <w:tc>
          <w:tcPr>
            <w:tcW w:w="1666" w:type="pct"/>
            <w:vAlign w:val="center"/>
          </w:tcPr>
          <w:p w14:paraId="4F83858F">
            <w:pPr>
              <w:spacing w:before="0" w:after="0" w:line="240" w:lineRule="exact"/>
              <w:jc w:val="right"/>
              <w:rPr>
                <w:rFonts w:ascii="宋体" w:hAnsi="宋体" w:eastAsia="宋体" w:cs="宋体"/>
                <w:sz w:val="18"/>
                <w:szCs w:val="18"/>
              </w:rPr>
            </w:pPr>
          </w:p>
        </w:tc>
      </w:tr>
      <w:tr w14:paraId="43018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66" w:type="pct"/>
            <w:shd w:val="clear" w:color="auto" w:fill="D3D3D3"/>
            <w:vAlign w:val="center"/>
          </w:tcPr>
          <w:p w14:paraId="760E81CE">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拆入资金</w:t>
            </w:r>
          </w:p>
        </w:tc>
        <w:tc>
          <w:tcPr>
            <w:tcW w:w="1666" w:type="pct"/>
            <w:vAlign w:val="center"/>
          </w:tcPr>
          <w:p w14:paraId="6E3B131E">
            <w:pPr>
              <w:spacing w:before="0" w:after="0" w:line="240" w:lineRule="exact"/>
              <w:jc w:val="right"/>
              <w:rPr>
                <w:rFonts w:ascii="宋体" w:hAnsi="宋体" w:eastAsia="宋体" w:cs="宋体"/>
                <w:sz w:val="18"/>
                <w:szCs w:val="18"/>
              </w:rPr>
            </w:pPr>
          </w:p>
        </w:tc>
        <w:tc>
          <w:tcPr>
            <w:tcW w:w="1666" w:type="pct"/>
            <w:vAlign w:val="center"/>
          </w:tcPr>
          <w:p w14:paraId="6F284A95">
            <w:pPr>
              <w:spacing w:before="0" w:after="0" w:line="240" w:lineRule="exact"/>
              <w:jc w:val="right"/>
              <w:rPr>
                <w:rFonts w:ascii="宋体" w:hAnsi="宋体" w:eastAsia="宋体" w:cs="宋体"/>
                <w:sz w:val="18"/>
                <w:szCs w:val="18"/>
              </w:rPr>
            </w:pPr>
          </w:p>
        </w:tc>
      </w:tr>
      <w:tr w14:paraId="27CB1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66" w:type="pct"/>
            <w:shd w:val="clear" w:color="auto" w:fill="D3D3D3"/>
            <w:vAlign w:val="center"/>
          </w:tcPr>
          <w:p w14:paraId="07F4FE5F">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交易性金融负债</w:t>
            </w:r>
          </w:p>
        </w:tc>
        <w:tc>
          <w:tcPr>
            <w:tcW w:w="1666" w:type="pct"/>
            <w:vAlign w:val="center"/>
          </w:tcPr>
          <w:p w14:paraId="4FD83EB5">
            <w:pPr>
              <w:spacing w:before="0" w:after="0" w:line="240" w:lineRule="exact"/>
              <w:jc w:val="right"/>
              <w:rPr>
                <w:rFonts w:ascii="宋体" w:hAnsi="宋体" w:eastAsia="宋体" w:cs="宋体"/>
                <w:sz w:val="18"/>
                <w:szCs w:val="18"/>
              </w:rPr>
            </w:pPr>
          </w:p>
        </w:tc>
        <w:tc>
          <w:tcPr>
            <w:tcW w:w="1666" w:type="pct"/>
            <w:vAlign w:val="center"/>
          </w:tcPr>
          <w:p w14:paraId="510B755D">
            <w:pPr>
              <w:spacing w:before="0" w:after="0" w:line="240" w:lineRule="exact"/>
              <w:jc w:val="right"/>
              <w:rPr>
                <w:rFonts w:ascii="宋体" w:hAnsi="宋体" w:eastAsia="宋体" w:cs="宋体"/>
                <w:sz w:val="18"/>
                <w:szCs w:val="18"/>
              </w:rPr>
            </w:pPr>
          </w:p>
        </w:tc>
      </w:tr>
      <w:tr w14:paraId="6A035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66" w:type="pct"/>
            <w:shd w:val="clear" w:color="auto" w:fill="D3D3D3"/>
            <w:vAlign w:val="center"/>
          </w:tcPr>
          <w:p w14:paraId="6D69ED6F">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衍生金融负债</w:t>
            </w:r>
          </w:p>
        </w:tc>
        <w:tc>
          <w:tcPr>
            <w:tcW w:w="1666" w:type="pct"/>
            <w:vAlign w:val="center"/>
          </w:tcPr>
          <w:p w14:paraId="2B0BE2B4">
            <w:pPr>
              <w:spacing w:before="0" w:after="0" w:line="240" w:lineRule="exact"/>
              <w:jc w:val="right"/>
              <w:rPr>
                <w:rFonts w:ascii="宋体" w:hAnsi="宋体" w:eastAsia="宋体" w:cs="宋体"/>
                <w:sz w:val="18"/>
                <w:szCs w:val="18"/>
              </w:rPr>
            </w:pPr>
          </w:p>
        </w:tc>
        <w:tc>
          <w:tcPr>
            <w:tcW w:w="1666" w:type="pct"/>
            <w:vAlign w:val="center"/>
          </w:tcPr>
          <w:p w14:paraId="0FFEB6DD">
            <w:pPr>
              <w:spacing w:before="0" w:after="0" w:line="240" w:lineRule="exact"/>
              <w:jc w:val="right"/>
              <w:rPr>
                <w:rFonts w:ascii="宋体" w:hAnsi="宋体" w:eastAsia="宋体" w:cs="宋体"/>
                <w:sz w:val="18"/>
                <w:szCs w:val="18"/>
              </w:rPr>
            </w:pPr>
          </w:p>
        </w:tc>
      </w:tr>
      <w:tr w14:paraId="1C553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trPr>
        <w:tc>
          <w:tcPr>
            <w:tcW w:w="1666" w:type="pct"/>
            <w:shd w:val="clear" w:color="auto" w:fill="D3D3D3"/>
            <w:vAlign w:val="center"/>
          </w:tcPr>
          <w:p w14:paraId="17202563">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应付票据</w:t>
            </w:r>
          </w:p>
        </w:tc>
        <w:tc>
          <w:tcPr>
            <w:tcW w:w="1666" w:type="pct"/>
            <w:vAlign w:val="center"/>
          </w:tcPr>
          <w:p w14:paraId="068691AB">
            <w:pPr>
              <w:spacing w:before="0" w:after="0" w:line="240" w:lineRule="exact"/>
              <w:jc w:val="right"/>
              <w:rPr>
                <w:rFonts w:ascii="宋体" w:hAnsi="宋体" w:eastAsia="宋体" w:cs="宋体"/>
                <w:sz w:val="18"/>
                <w:szCs w:val="18"/>
              </w:rPr>
            </w:pPr>
            <w:r>
              <w:rPr>
                <w:rFonts w:ascii="宋体" w:hAnsi="宋体" w:eastAsia="宋体" w:cs="宋体"/>
                <w:sz w:val="18"/>
                <w:szCs w:val="18"/>
              </w:rPr>
              <w:t>485,406.16</w:t>
            </w:r>
          </w:p>
        </w:tc>
        <w:tc>
          <w:tcPr>
            <w:tcW w:w="1666" w:type="pct"/>
            <w:vAlign w:val="center"/>
          </w:tcPr>
          <w:p w14:paraId="07FE8B4C">
            <w:pPr>
              <w:spacing w:before="0" w:after="0" w:line="240" w:lineRule="exact"/>
              <w:jc w:val="right"/>
              <w:rPr>
                <w:rFonts w:ascii="宋体" w:hAnsi="宋体" w:eastAsia="宋体" w:cs="宋体"/>
                <w:sz w:val="18"/>
                <w:szCs w:val="18"/>
              </w:rPr>
            </w:pPr>
          </w:p>
        </w:tc>
      </w:tr>
      <w:tr w14:paraId="1A8B4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66" w:type="pct"/>
            <w:shd w:val="clear" w:color="auto" w:fill="D3D3D3"/>
            <w:vAlign w:val="center"/>
          </w:tcPr>
          <w:p w14:paraId="3EAA8237">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应付账款</w:t>
            </w:r>
          </w:p>
        </w:tc>
        <w:tc>
          <w:tcPr>
            <w:tcW w:w="1666" w:type="pct"/>
            <w:vAlign w:val="center"/>
          </w:tcPr>
          <w:p w14:paraId="522FF024">
            <w:pPr>
              <w:spacing w:before="0" w:after="0" w:line="240" w:lineRule="exact"/>
              <w:jc w:val="right"/>
              <w:rPr>
                <w:rFonts w:ascii="宋体" w:hAnsi="宋体" w:eastAsia="宋体" w:cs="宋体"/>
                <w:sz w:val="18"/>
                <w:szCs w:val="18"/>
              </w:rPr>
            </w:pPr>
            <w:r>
              <w:rPr>
                <w:rFonts w:ascii="宋体" w:hAnsi="宋体" w:eastAsia="宋体" w:cs="宋体"/>
                <w:sz w:val="18"/>
                <w:szCs w:val="18"/>
              </w:rPr>
              <w:t>34,549,553.79</w:t>
            </w:r>
          </w:p>
        </w:tc>
        <w:tc>
          <w:tcPr>
            <w:tcW w:w="1666" w:type="pct"/>
            <w:vAlign w:val="center"/>
          </w:tcPr>
          <w:p w14:paraId="42001B22">
            <w:pPr>
              <w:spacing w:before="0" w:after="0" w:line="240" w:lineRule="exact"/>
              <w:jc w:val="right"/>
              <w:rPr>
                <w:rFonts w:ascii="宋体" w:hAnsi="宋体" w:eastAsia="宋体" w:cs="宋体"/>
                <w:sz w:val="18"/>
                <w:szCs w:val="18"/>
              </w:rPr>
            </w:pPr>
            <w:r>
              <w:rPr>
                <w:rFonts w:ascii="宋体" w:hAnsi="宋体" w:eastAsia="宋体" w:cs="宋体"/>
                <w:sz w:val="18"/>
                <w:szCs w:val="18"/>
              </w:rPr>
              <w:t>48,126,485.44</w:t>
            </w:r>
          </w:p>
        </w:tc>
      </w:tr>
      <w:tr w14:paraId="14833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66" w:type="pct"/>
            <w:shd w:val="clear" w:color="auto" w:fill="D3D3D3"/>
            <w:vAlign w:val="center"/>
          </w:tcPr>
          <w:p w14:paraId="2EC53C97">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预收款项</w:t>
            </w:r>
          </w:p>
        </w:tc>
        <w:tc>
          <w:tcPr>
            <w:tcW w:w="1666" w:type="pct"/>
            <w:vAlign w:val="center"/>
          </w:tcPr>
          <w:p w14:paraId="07B8E236">
            <w:pPr>
              <w:spacing w:before="0" w:after="0" w:line="240" w:lineRule="exact"/>
              <w:jc w:val="right"/>
              <w:rPr>
                <w:rFonts w:ascii="宋体" w:hAnsi="宋体" w:eastAsia="宋体" w:cs="宋体"/>
                <w:sz w:val="18"/>
                <w:szCs w:val="18"/>
              </w:rPr>
            </w:pPr>
            <w:r>
              <w:rPr>
                <w:rFonts w:ascii="宋体" w:hAnsi="宋体" w:eastAsia="宋体" w:cs="宋体"/>
                <w:sz w:val="18"/>
                <w:szCs w:val="18"/>
              </w:rPr>
              <w:t>533,499.50</w:t>
            </w:r>
          </w:p>
        </w:tc>
        <w:tc>
          <w:tcPr>
            <w:tcW w:w="1666" w:type="pct"/>
            <w:vAlign w:val="center"/>
          </w:tcPr>
          <w:p w14:paraId="26FAE0DD">
            <w:pPr>
              <w:spacing w:before="0" w:after="0" w:line="240" w:lineRule="exact"/>
              <w:jc w:val="right"/>
              <w:rPr>
                <w:rFonts w:ascii="宋体" w:hAnsi="宋体" w:eastAsia="宋体" w:cs="宋体"/>
                <w:sz w:val="18"/>
                <w:szCs w:val="18"/>
              </w:rPr>
            </w:pPr>
            <w:r>
              <w:rPr>
                <w:rFonts w:ascii="宋体" w:hAnsi="宋体" w:eastAsia="宋体" w:cs="宋体"/>
                <w:sz w:val="18"/>
                <w:szCs w:val="18"/>
              </w:rPr>
              <w:t>571,800.60</w:t>
            </w:r>
          </w:p>
        </w:tc>
      </w:tr>
      <w:tr w14:paraId="3E34D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66" w:type="pct"/>
            <w:shd w:val="clear" w:color="auto" w:fill="D3D3D3"/>
            <w:vAlign w:val="center"/>
          </w:tcPr>
          <w:p w14:paraId="1EB60FD3">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合同负债</w:t>
            </w:r>
          </w:p>
        </w:tc>
        <w:tc>
          <w:tcPr>
            <w:tcW w:w="1666" w:type="pct"/>
            <w:vAlign w:val="center"/>
          </w:tcPr>
          <w:p w14:paraId="662A9725">
            <w:pPr>
              <w:spacing w:before="0" w:after="0" w:line="240" w:lineRule="exact"/>
              <w:jc w:val="right"/>
              <w:rPr>
                <w:rFonts w:ascii="宋体" w:hAnsi="宋体" w:eastAsia="宋体" w:cs="宋体"/>
                <w:sz w:val="18"/>
                <w:szCs w:val="18"/>
              </w:rPr>
            </w:pPr>
            <w:r>
              <w:rPr>
                <w:rFonts w:ascii="宋体" w:hAnsi="宋体" w:eastAsia="宋体" w:cs="宋体"/>
                <w:sz w:val="18"/>
                <w:szCs w:val="18"/>
              </w:rPr>
              <w:t>16,400,878.20</w:t>
            </w:r>
          </w:p>
        </w:tc>
        <w:tc>
          <w:tcPr>
            <w:tcW w:w="1666" w:type="pct"/>
            <w:vAlign w:val="center"/>
          </w:tcPr>
          <w:p w14:paraId="65FE2F79">
            <w:pPr>
              <w:spacing w:before="0" w:after="0" w:line="240" w:lineRule="exact"/>
              <w:jc w:val="right"/>
              <w:rPr>
                <w:rFonts w:ascii="宋体" w:hAnsi="宋体" w:eastAsia="宋体" w:cs="宋体"/>
                <w:sz w:val="18"/>
                <w:szCs w:val="18"/>
              </w:rPr>
            </w:pPr>
            <w:r>
              <w:rPr>
                <w:rFonts w:ascii="宋体" w:hAnsi="宋体" w:eastAsia="宋体" w:cs="宋体"/>
                <w:sz w:val="18"/>
                <w:szCs w:val="18"/>
              </w:rPr>
              <w:t>45,175,363.95</w:t>
            </w:r>
          </w:p>
        </w:tc>
      </w:tr>
      <w:tr w14:paraId="6F927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66" w:type="pct"/>
            <w:shd w:val="clear" w:color="auto" w:fill="D3D3D3"/>
            <w:vAlign w:val="center"/>
          </w:tcPr>
          <w:p w14:paraId="25D3C2B5">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卖出回购金融资产款</w:t>
            </w:r>
          </w:p>
        </w:tc>
        <w:tc>
          <w:tcPr>
            <w:tcW w:w="1666" w:type="pct"/>
            <w:vAlign w:val="center"/>
          </w:tcPr>
          <w:p w14:paraId="488017EC">
            <w:pPr>
              <w:spacing w:before="0" w:after="0" w:line="240" w:lineRule="exact"/>
              <w:jc w:val="right"/>
              <w:rPr>
                <w:rFonts w:ascii="宋体" w:hAnsi="宋体" w:eastAsia="宋体" w:cs="宋体"/>
                <w:sz w:val="18"/>
                <w:szCs w:val="18"/>
              </w:rPr>
            </w:pPr>
          </w:p>
        </w:tc>
        <w:tc>
          <w:tcPr>
            <w:tcW w:w="1666" w:type="pct"/>
            <w:vAlign w:val="center"/>
          </w:tcPr>
          <w:p w14:paraId="797E148A">
            <w:pPr>
              <w:spacing w:before="0" w:after="0" w:line="240" w:lineRule="exact"/>
              <w:jc w:val="right"/>
              <w:rPr>
                <w:rFonts w:ascii="宋体" w:hAnsi="宋体" w:eastAsia="宋体" w:cs="宋体"/>
                <w:sz w:val="18"/>
                <w:szCs w:val="18"/>
              </w:rPr>
            </w:pPr>
          </w:p>
        </w:tc>
      </w:tr>
      <w:tr w14:paraId="29191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66" w:type="pct"/>
            <w:shd w:val="clear" w:color="auto" w:fill="D3D3D3"/>
            <w:vAlign w:val="center"/>
          </w:tcPr>
          <w:p w14:paraId="10E26F57">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吸收存款及同业存放</w:t>
            </w:r>
          </w:p>
        </w:tc>
        <w:tc>
          <w:tcPr>
            <w:tcW w:w="1666" w:type="pct"/>
            <w:vAlign w:val="center"/>
          </w:tcPr>
          <w:p w14:paraId="5BB8D300">
            <w:pPr>
              <w:spacing w:before="0" w:after="0" w:line="240" w:lineRule="exact"/>
              <w:jc w:val="right"/>
              <w:rPr>
                <w:rFonts w:ascii="宋体" w:hAnsi="宋体" w:eastAsia="宋体" w:cs="宋体"/>
                <w:sz w:val="18"/>
                <w:szCs w:val="18"/>
              </w:rPr>
            </w:pPr>
          </w:p>
        </w:tc>
        <w:tc>
          <w:tcPr>
            <w:tcW w:w="1666" w:type="pct"/>
            <w:vAlign w:val="center"/>
          </w:tcPr>
          <w:p w14:paraId="1719F377">
            <w:pPr>
              <w:spacing w:before="0" w:after="0" w:line="240" w:lineRule="exact"/>
              <w:jc w:val="right"/>
              <w:rPr>
                <w:rFonts w:ascii="宋体" w:hAnsi="宋体" w:eastAsia="宋体" w:cs="宋体"/>
                <w:sz w:val="18"/>
                <w:szCs w:val="18"/>
              </w:rPr>
            </w:pPr>
          </w:p>
        </w:tc>
      </w:tr>
      <w:tr w14:paraId="2EB09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66" w:type="pct"/>
            <w:shd w:val="clear" w:color="auto" w:fill="D3D3D3"/>
            <w:vAlign w:val="center"/>
          </w:tcPr>
          <w:p w14:paraId="578773A4">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代理买卖证券款</w:t>
            </w:r>
          </w:p>
        </w:tc>
        <w:tc>
          <w:tcPr>
            <w:tcW w:w="1666" w:type="pct"/>
            <w:vAlign w:val="center"/>
          </w:tcPr>
          <w:p w14:paraId="3FE6AD7D">
            <w:pPr>
              <w:spacing w:before="0" w:after="0" w:line="240" w:lineRule="exact"/>
              <w:jc w:val="right"/>
              <w:rPr>
                <w:rFonts w:ascii="宋体" w:hAnsi="宋体" w:eastAsia="宋体" w:cs="宋体"/>
                <w:sz w:val="18"/>
                <w:szCs w:val="18"/>
              </w:rPr>
            </w:pPr>
          </w:p>
        </w:tc>
        <w:tc>
          <w:tcPr>
            <w:tcW w:w="1666" w:type="pct"/>
            <w:vAlign w:val="center"/>
          </w:tcPr>
          <w:p w14:paraId="02494F0F">
            <w:pPr>
              <w:spacing w:before="0" w:after="0" w:line="240" w:lineRule="exact"/>
              <w:jc w:val="right"/>
              <w:rPr>
                <w:rFonts w:ascii="宋体" w:hAnsi="宋体" w:eastAsia="宋体" w:cs="宋体"/>
                <w:sz w:val="18"/>
                <w:szCs w:val="18"/>
              </w:rPr>
            </w:pPr>
          </w:p>
        </w:tc>
      </w:tr>
      <w:tr w14:paraId="6982D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66" w:type="pct"/>
            <w:shd w:val="clear" w:color="auto" w:fill="D3D3D3"/>
            <w:vAlign w:val="center"/>
          </w:tcPr>
          <w:p w14:paraId="11D988CB">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代理承销证券款</w:t>
            </w:r>
          </w:p>
        </w:tc>
        <w:tc>
          <w:tcPr>
            <w:tcW w:w="1666" w:type="pct"/>
            <w:vAlign w:val="center"/>
          </w:tcPr>
          <w:p w14:paraId="022C8A75">
            <w:pPr>
              <w:spacing w:before="0" w:after="0" w:line="240" w:lineRule="exact"/>
              <w:jc w:val="right"/>
              <w:rPr>
                <w:rFonts w:ascii="宋体" w:hAnsi="宋体" w:eastAsia="宋体" w:cs="宋体"/>
                <w:sz w:val="18"/>
                <w:szCs w:val="18"/>
              </w:rPr>
            </w:pPr>
          </w:p>
        </w:tc>
        <w:tc>
          <w:tcPr>
            <w:tcW w:w="1666" w:type="pct"/>
            <w:vAlign w:val="center"/>
          </w:tcPr>
          <w:p w14:paraId="4FD6B19A">
            <w:pPr>
              <w:spacing w:before="0" w:after="0" w:line="240" w:lineRule="exact"/>
              <w:jc w:val="right"/>
              <w:rPr>
                <w:rFonts w:ascii="宋体" w:hAnsi="宋体" w:eastAsia="宋体" w:cs="宋体"/>
                <w:sz w:val="18"/>
                <w:szCs w:val="18"/>
              </w:rPr>
            </w:pPr>
          </w:p>
        </w:tc>
      </w:tr>
      <w:tr w14:paraId="6775B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66" w:type="pct"/>
            <w:shd w:val="clear" w:color="auto" w:fill="D3D3D3"/>
            <w:vAlign w:val="center"/>
          </w:tcPr>
          <w:p w14:paraId="2ECD0D10">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应付职工薪酬</w:t>
            </w:r>
          </w:p>
        </w:tc>
        <w:tc>
          <w:tcPr>
            <w:tcW w:w="1666" w:type="pct"/>
            <w:vAlign w:val="center"/>
          </w:tcPr>
          <w:p w14:paraId="0CEAC6DC">
            <w:pPr>
              <w:spacing w:before="0" w:after="0" w:line="240" w:lineRule="exact"/>
              <w:jc w:val="right"/>
              <w:rPr>
                <w:rFonts w:ascii="宋体" w:hAnsi="宋体" w:eastAsia="宋体" w:cs="宋体"/>
                <w:sz w:val="18"/>
                <w:szCs w:val="18"/>
              </w:rPr>
            </w:pPr>
            <w:r>
              <w:rPr>
                <w:rFonts w:ascii="宋体" w:hAnsi="宋体" w:eastAsia="宋体" w:cs="宋体"/>
                <w:sz w:val="18"/>
                <w:szCs w:val="18"/>
              </w:rPr>
              <w:t>4,828,832.60</w:t>
            </w:r>
          </w:p>
        </w:tc>
        <w:tc>
          <w:tcPr>
            <w:tcW w:w="1666" w:type="pct"/>
            <w:vAlign w:val="center"/>
          </w:tcPr>
          <w:p w14:paraId="175B921D">
            <w:pPr>
              <w:spacing w:before="0" w:after="0" w:line="240" w:lineRule="exact"/>
              <w:jc w:val="right"/>
              <w:rPr>
                <w:rFonts w:ascii="宋体" w:hAnsi="宋体" w:eastAsia="宋体" w:cs="宋体"/>
                <w:sz w:val="18"/>
                <w:szCs w:val="18"/>
              </w:rPr>
            </w:pPr>
            <w:r>
              <w:rPr>
                <w:rFonts w:ascii="宋体" w:hAnsi="宋体" w:eastAsia="宋体" w:cs="宋体"/>
                <w:sz w:val="18"/>
                <w:szCs w:val="18"/>
              </w:rPr>
              <w:t>6,269,726.80</w:t>
            </w:r>
          </w:p>
        </w:tc>
      </w:tr>
      <w:tr w14:paraId="330B0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66" w:type="pct"/>
            <w:shd w:val="clear" w:color="auto" w:fill="D3D3D3"/>
            <w:vAlign w:val="center"/>
          </w:tcPr>
          <w:p w14:paraId="2EB36376">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应交税费</w:t>
            </w:r>
          </w:p>
        </w:tc>
        <w:tc>
          <w:tcPr>
            <w:tcW w:w="1666" w:type="pct"/>
            <w:vAlign w:val="center"/>
          </w:tcPr>
          <w:p w14:paraId="36D09E9E">
            <w:pPr>
              <w:spacing w:before="0" w:after="0" w:line="240" w:lineRule="exact"/>
              <w:jc w:val="right"/>
              <w:rPr>
                <w:rFonts w:ascii="宋体" w:hAnsi="宋体" w:eastAsia="宋体" w:cs="宋体"/>
                <w:sz w:val="18"/>
                <w:szCs w:val="18"/>
              </w:rPr>
            </w:pPr>
            <w:r>
              <w:rPr>
                <w:rFonts w:ascii="宋体" w:hAnsi="宋体" w:eastAsia="宋体" w:cs="宋体"/>
                <w:sz w:val="18"/>
                <w:szCs w:val="18"/>
              </w:rPr>
              <w:t>5,300,966.63</w:t>
            </w:r>
          </w:p>
        </w:tc>
        <w:tc>
          <w:tcPr>
            <w:tcW w:w="1666" w:type="pct"/>
            <w:vAlign w:val="center"/>
          </w:tcPr>
          <w:p w14:paraId="74D86E42">
            <w:pPr>
              <w:spacing w:before="0" w:after="0" w:line="240" w:lineRule="exact"/>
              <w:jc w:val="right"/>
              <w:rPr>
                <w:rFonts w:ascii="宋体" w:hAnsi="宋体" w:eastAsia="宋体" w:cs="宋体"/>
                <w:sz w:val="18"/>
                <w:szCs w:val="18"/>
              </w:rPr>
            </w:pPr>
            <w:r>
              <w:rPr>
                <w:rFonts w:ascii="宋体" w:hAnsi="宋体" w:eastAsia="宋体" w:cs="宋体"/>
                <w:sz w:val="18"/>
                <w:szCs w:val="18"/>
              </w:rPr>
              <w:t>7,446,472.82</w:t>
            </w:r>
          </w:p>
        </w:tc>
      </w:tr>
      <w:tr w14:paraId="05CA7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66" w:type="pct"/>
            <w:shd w:val="clear" w:color="auto" w:fill="D3D3D3"/>
            <w:vAlign w:val="center"/>
          </w:tcPr>
          <w:p w14:paraId="11D40109">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其他应付款</w:t>
            </w:r>
          </w:p>
        </w:tc>
        <w:tc>
          <w:tcPr>
            <w:tcW w:w="1666" w:type="pct"/>
            <w:vAlign w:val="center"/>
          </w:tcPr>
          <w:p w14:paraId="2F527D93">
            <w:pPr>
              <w:spacing w:before="0" w:after="0" w:line="240" w:lineRule="exact"/>
              <w:jc w:val="right"/>
              <w:rPr>
                <w:rFonts w:ascii="宋体" w:hAnsi="宋体" w:eastAsia="宋体" w:cs="宋体"/>
                <w:sz w:val="18"/>
                <w:szCs w:val="18"/>
              </w:rPr>
            </w:pPr>
            <w:r>
              <w:rPr>
                <w:rFonts w:ascii="宋体" w:hAnsi="宋体" w:eastAsia="宋体" w:cs="宋体"/>
                <w:sz w:val="18"/>
                <w:szCs w:val="18"/>
              </w:rPr>
              <w:t>19,469,177.30</w:t>
            </w:r>
          </w:p>
        </w:tc>
        <w:tc>
          <w:tcPr>
            <w:tcW w:w="1666" w:type="pct"/>
            <w:vAlign w:val="center"/>
          </w:tcPr>
          <w:p w14:paraId="5C1334F8">
            <w:pPr>
              <w:spacing w:before="0" w:after="0" w:line="240" w:lineRule="exact"/>
              <w:jc w:val="right"/>
              <w:rPr>
                <w:rFonts w:ascii="宋体" w:hAnsi="宋体" w:eastAsia="宋体" w:cs="宋体"/>
                <w:sz w:val="18"/>
                <w:szCs w:val="18"/>
              </w:rPr>
            </w:pPr>
            <w:r>
              <w:rPr>
                <w:rFonts w:ascii="宋体" w:hAnsi="宋体" w:eastAsia="宋体" w:cs="宋体"/>
                <w:sz w:val="18"/>
                <w:szCs w:val="18"/>
              </w:rPr>
              <w:t>14,214,142.30</w:t>
            </w:r>
          </w:p>
        </w:tc>
      </w:tr>
      <w:tr w14:paraId="5E28A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66" w:type="pct"/>
            <w:shd w:val="clear" w:color="auto" w:fill="D3D3D3"/>
            <w:vAlign w:val="center"/>
          </w:tcPr>
          <w:p w14:paraId="66D4E784">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其中：应付利息</w:t>
            </w:r>
          </w:p>
        </w:tc>
        <w:tc>
          <w:tcPr>
            <w:tcW w:w="1666" w:type="pct"/>
            <w:vAlign w:val="center"/>
          </w:tcPr>
          <w:p w14:paraId="703A7C13">
            <w:pPr>
              <w:spacing w:before="0" w:after="0" w:line="240" w:lineRule="exact"/>
              <w:jc w:val="right"/>
              <w:rPr>
                <w:rFonts w:ascii="宋体" w:hAnsi="宋体" w:eastAsia="宋体" w:cs="宋体"/>
                <w:sz w:val="18"/>
                <w:szCs w:val="18"/>
              </w:rPr>
            </w:pPr>
          </w:p>
        </w:tc>
        <w:tc>
          <w:tcPr>
            <w:tcW w:w="1666" w:type="pct"/>
            <w:vAlign w:val="center"/>
          </w:tcPr>
          <w:p w14:paraId="29EDFA1B">
            <w:pPr>
              <w:spacing w:before="0" w:after="0" w:line="240" w:lineRule="exact"/>
              <w:jc w:val="right"/>
              <w:rPr>
                <w:rFonts w:ascii="宋体" w:hAnsi="宋体" w:eastAsia="宋体" w:cs="宋体"/>
                <w:sz w:val="18"/>
                <w:szCs w:val="18"/>
              </w:rPr>
            </w:pPr>
          </w:p>
        </w:tc>
      </w:tr>
      <w:tr w14:paraId="06A82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66" w:type="pct"/>
            <w:shd w:val="clear" w:color="auto" w:fill="D3D3D3"/>
            <w:vAlign w:val="center"/>
          </w:tcPr>
          <w:p w14:paraId="04DF8BAC">
            <w:pPr>
              <w:spacing w:before="0" w:after="0" w:line="240" w:lineRule="exact"/>
              <w:ind w:firstLine="900" w:firstLineChars="500"/>
              <w:jc w:val="left"/>
              <w:rPr>
                <w:rFonts w:ascii="宋体" w:hAnsi="宋体" w:eastAsia="宋体" w:cs="宋体"/>
                <w:sz w:val="18"/>
                <w:szCs w:val="18"/>
              </w:rPr>
            </w:pPr>
            <w:r>
              <w:rPr>
                <w:rFonts w:ascii="宋体" w:hAnsi="宋体" w:eastAsia="宋体" w:cs="宋体"/>
                <w:sz w:val="18"/>
                <w:szCs w:val="18"/>
              </w:rPr>
              <w:t>应付股利</w:t>
            </w:r>
          </w:p>
        </w:tc>
        <w:tc>
          <w:tcPr>
            <w:tcW w:w="1666" w:type="pct"/>
            <w:vAlign w:val="center"/>
          </w:tcPr>
          <w:p w14:paraId="4BAB40CC">
            <w:pPr>
              <w:spacing w:before="0" w:after="0" w:line="240" w:lineRule="exact"/>
              <w:jc w:val="right"/>
              <w:rPr>
                <w:rFonts w:ascii="宋体" w:hAnsi="宋体" w:eastAsia="宋体" w:cs="宋体"/>
                <w:sz w:val="18"/>
                <w:szCs w:val="18"/>
              </w:rPr>
            </w:pPr>
            <w:r>
              <w:rPr>
                <w:rFonts w:ascii="宋体" w:hAnsi="宋体" w:eastAsia="宋体" w:cs="宋体"/>
                <w:sz w:val="18"/>
                <w:szCs w:val="18"/>
              </w:rPr>
              <w:t>7,002,039.20</w:t>
            </w:r>
          </w:p>
        </w:tc>
        <w:tc>
          <w:tcPr>
            <w:tcW w:w="1666" w:type="pct"/>
            <w:vAlign w:val="center"/>
          </w:tcPr>
          <w:p w14:paraId="7DFAB85D">
            <w:pPr>
              <w:spacing w:before="0" w:after="0" w:line="240" w:lineRule="exact"/>
              <w:jc w:val="right"/>
              <w:rPr>
                <w:rFonts w:ascii="宋体" w:hAnsi="宋体" w:eastAsia="宋体" w:cs="宋体"/>
                <w:sz w:val="18"/>
                <w:szCs w:val="18"/>
              </w:rPr>
            </w:pPr>
            <w:r>
              <w:rPr>
                <w:rFonts w:ascii="宋体" w:hAnsi="宋体" w:eastAsia="宋体" w:cs="宋体"/>
                <w:sz w:val="18"/>
                <w:szCs w:val="18"/>
              </w:rPr>
              <w:t>7,065,527.70</w:t>
            </w:r>
          </w:p>
        </w:tc>
      </w:tr>
      <w:tr w14:paraId="6A3C2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66" w:type="pct"/>
            <w:shd w:val="clear" w:color="auto" w:fill="D3D3D3"/>
            <w:vAlign w:val="center"/>
          </w:tcPr>
          <w:p w14:paraId="37B47842">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应付手续费及佣金</w:t>
            </w:r>
          </w:p>
        </w:tc>
        <w:tc>
          <w:tcPr>
            <w:tcW w:w="1666" w:type="pct"/>
            <w:vAlign w:val="center"/>
          </w:tcPr>
          <w:p w14:paraId="06E494A0">
            <w:pPr>
              <w:spacing w:before="0" w:after="0" w:line="240" w:lineRule="exact"/>
              <w:jc w:val="right"/>
              <w:rPr>
                <w:rFonts w:ascii="宋体" w:hAnsi="宋体" w:eastAsia="宋体" w:cs="宋体"/>
                <w:sz w:val="18"/>
                <w:szCs w:val="18"/>
              </w:rPr>
            </w:pPr>
          </w:p>
        </w:tc>
        <w:tc>
          <w:tcPr>
            <w:tcW w:w="1666" w:type="pct"/>
            <w:vAlign w:val="center"/>
          </w:tcPr>
          <w:p w14:paraId="2B3A0CA6">
            <w:pPr>
              <w:spacing w:before="0" w:after="0" w:line="240" w:lineRule="exact"/>
              <w:jc w:val="right"/>
              <w:rPr>
                <w:rFonts w:ascii="宋体" w:hAnsi="宋体" w:eastAsia="宋体" w:cs="宋体"/>
                <w:sz w:val="18"/>
                <w:szCs w:val="18"/>
              </w:rPr>
            </w:pPr>
          </w:p>
        </w:tc>
      </w:tr>
      <w:tr w14:paraId="4CFE9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66" w:type="pct"/>
            <w:shd w:val="clear" w:color="auto" w:fill="D3D3D3"/>
            <w:vAlign w:val="center"/>
          </w:tcPr>
          <w:p w14:paraId="1A286E6C">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应付分保账款</w:t>
            </w:r>
          </w:p>
        </w:tc>
        <w:tc>
          <w:tcPr>
            <w:tcW w:w="1666" w:type="pct"/>
            <w:vAlign w:val="center"/>
          </w:tcPr>
          <w:p w14:paraId="4C32F661">
            <w:pPr>
              <w:spacing w:before="0" w:after="0" w:line="240" w:lineRule="exact"/>
              <w:jc w:val="right"/>
              <w:rPr>
                <w:rFonts w:ascii="宋体" w:hAnsi="宋体" w:eastAsia="宋体" w:cs="宋体"/>
                <w:sz w:val="18"/>
                <w:szCs w:val="18"/>
              </w:rPr>
            </w:pPr>
          </w:p>
        </w:tc>
        <w:tc>
          <w:tcPr>
            <w:tcW w:w="1666" w:type="pct"/>
            <w:vAlign w:val="center"/>
          </w:tcPr>
          <w:p w14:paraId="7F14AEBA">
            <w:pPr>
              <w:spacing w:before="0" w:after="0" w:line="240" w:lineRule="exact"/>
              <w:jc w:val="right"/>
              <w:rPr>
                <w:rFonts w:ascii="宋体" w:hAnsi="宋体" w:eastAsia="宋体" w:cs="宋体"/>
                <w:sz w:val="18"/>
                <w:szCs w:val="18"/>
              </w:rPr>
            </w:pPr>
          </w:p>
        </w:tc>
      </w:tr>
      <w:tr w14:paraId="02A9F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66" w:type="pct"/>
            <w:shd w:val="clear" w:color="auto" w:fill="D3D3D3"/>
            <w:vAlign w:val="center"/>
          </w:tcPr>
          <w:p w14:paraId="35617746">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持有待售负债</w:t>
            </w:r>
          </w:p>
        </w:tc>
        <w:tc>
          <w:tcPr>
            <w:tcW w:w="1666" w:type="pct"/>
            <w:vAlign w:val="center"/>
          </w:tcPr>
          <w:p w14:paraId="62042EE8">
            <w:pPr>
              <w:spacing w:before="0" w:after="0" w:line="240" w:lineRule="exact"/>
              <w:jc w:val="right"/>
              <w:rPr>
                <w:rFonts w:ascii="宋体" w:hAnsi="宋体" w:eastAsia="宋体" w:cs="宋体"/>
                <w:sz w:val="18"/>
                <w:szCs w:val="18"/>
              </w:rPr>
            </w:pPr>
          </w:p>
        </w:tc>
        <w:tc>
          <w:tcPr>
            <w:tcW w:w="1666" w:type="pct"/>
            <w:vAlign w:val="center"/>
          </w:tcPr>
          <w:p w14:paraId="16BB2C2A">
            <w:pPr>
              <w:spacing w:before="0" w:after="0" w:line="240" w:lineRule="exact"/>
              <w:jc w:val="right"/>
              <w:rPr>
                <w:rFonts w:ascii="宋体" w:hAnsi="宋体" w:eastAsia="宋体" w:cs="宋体"/>
                <w:sz w:val="18"/>
                <w:szCs w:val="18"/>
              </w:rPr>
            </w:pPr>
          </w:p>
        </w:tc>
      </w:tr>
      <w:tr w14:paraId="4A6D7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66" w:type="pct"/>
            <w:shd w:val="clear" w:color="auto" w:fill="D3D3D3"/>
            <w:vAlign w:val="center"/>
          </w:tcPr>
          <w:p w14:paraId="58494F94">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一年内到期的非流动负债</w:t>
            </w:r>
          </w:p>
        </w:tc>
        <w:tc>
          <w:tcPr>
            <w:tcW w:w="1666" w:type="pct"/>
            <w:vAlign w:val="center"/>
          </w:tcPr>
          <w:p w14:paraId="2A013B7A">
            <w:pPr>
              <w:spacing w:before="0" w:after="0" w:line="240" w:lineRule="exact"/>
              <w:jc w:val="right"/>
              <w:rPr>
                <w:rFonts w:ascii="宋体" w:hAnsi="宋体" w:eastAsia="宋体" w:cs="宋体"/>
                <w:sz w:val="18"/>
                <w:szCs w:val="18"/>
              </w:rPr>
            </w:pPr>
          </w:p>
        </w:tc>
        <w:tc>
          <w:tcPr>
            <w:tcW w:w="1666" w:type="pct"/>
            <w:vAlign w:val="center"/>
          </w:tcPr>
          <w:p w14:paraId="24C1EDD8">
            <w:pPr>
              <w:spacing w:before="0" w:after="0" w:line="240" w:lineRule="exact"/>
              <w:jc w:val="right"/>
              <w:rPr>
                <w:rFonts w:ascii="宋体" w:hAnsi="宋体" w:eastAsia="宋体" w:cs="宋体"/>
                <w:sz w:val="18"/>
                <w:szCs w:val="18"/>
              </w:rPr>
            </w:pPr>
          </w:p>
        </w:tc>
      </w:tr>
      <w:tr w14:paraId="159D4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66" w:type="pct"/>
            <w:shd w:val="clear" w:color="auto" w:fill="D3D3D3"/>
            <w:vAlign w:val="center"/>
          </w:tcPr>
          <w:p w14:paraId="1F454B4C">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其他流动负债</w:t>
            </w:r>
          </w:p>
        </w:tc>
        <w:tc>
          <w:tcPr>
            <w:tcW w:w="1666" w:type="pct"/>
            <w:vAlign w:val="center"/>
          </w:tcPr>
          <w:p w14:paraId="0C401D21">
            <w:pPr>
              <w:spacing w:before="0" w:after="0" w:line="240" w:lineRule="exact"/>
              <w:jc w:val="right"/>
              <w:rPr>
                <w:rFonts w:ascii="宋体" w:hAnsi="宋体" w:eastAsia="宋体" w:cs="宋体"/>
                <w:sz w:val="18"/>
                <w:szCs w:val="18"/>
              </w:rPr>
            </w:pPr>
            <w:r>
              <w:rPr>
                <w:rFonts w:ascii="宋体" w:hAnsi="宋体" w:eastAsia="宋体" w:cs="宋体"/>
                <w:sz w:val="18"/>
                <w:szCs w:val="18"/>
              </w:rPr>
              <w:t>871,944.25</w:t>
            </w:r>
          </w:p>
        </w:tc>
        <w:tc>
          <w:tcPr>
            <w:tcW w:w="1666" w:type="pct"/>
            <w:vAlign w:val="center"/>
          </w:tcPr>
          <w:p w14:paraId="7133C005">
            <w:pPr>
              <w:spacing w:before="0" w:after="0" w:line="240" w:lineRule="exact"/>
              <w:jc w:val="right"/>
              <w:rPr>
                <w:rFonts w:ascii="宋体" w:hAnsi="宋体" w:eastAsia="宋体" w:cs="宋体"/>
                <w:sz w:val="18"/>
                <w:szCs w:val="18"/>
              </w:rPr>
            </w:pPr>
            <w:r>
              <w:rPr>
                <w:rFonts w:ascii="宋体" w:hAnsi="宋体" w:eastAsia="宋体" w:cs="宋体"/>
                <w:sz w:val="18"/>
                <w:szCs w:val="18"/>
              </w:rPr>
              <w:t>2,269,731.23</w:t>
            </w:r>
          </w:p>
        </w:tc>
      </w:tr>
      <w:tr w14:paraId="52B51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66" w:type="pct"/>
            <w:shd w:val="clear" w:color="auto" w:fill="D3D3D3"/>
            <w:vAlign w:val="center"/>
          </w:tcPr>
          <w:p w14:paraId="76453FE8">
            <w:pPr>
              <w:spacing w:before="0" w:after="0" w:line="240" w:lineRule="exact"/>
              <w:jc w:val="left"/>
              <w:rPr>
                <w:rFonts w:ascii="宋体" w:hAnsi="宋体" w:eastAsia="宋体" w:cs="宋体"/>
                <w:sz w:val="18"/>
                <w:szCs w:val="18"/>
              </w:rPr>
            </w:pPr>
            <w:r>
              <w:rPr>
                <w:rFonts w:ascii="宋体" w:hAnsi="宋体" w:eastAsia="宋体" w:cs="宋体"/>
                <w:sz w:val="18"/>
                <w:szCs w:val="18"/>
              </w:rPr>
              <w:t>流动负债合计</w:t>
            </w:r>
          </w:p>
        </w:tc>
        <w:tc>
          <w:tcPr>
            <w:tcW w:w="1666" w:type="pct"/>
            <w:vAlign w:val="center"/>
          </w:tcPr>
          <w:p w14:paraId="552291F2">
            <w:pPr>
              <w:spacing w:before="0" w:after="0" w:line="240" w:lineRule="exact"/>
              <w:jc w:val="right"/>
              <w:rPr>
                <w:rFonts w:ascii="宋体" w:hAnsi="宋体" w:eastAsia="宋体" w:cs="宋体"/>
                <w:sz w:val="18"/>
                <w:szCs w:val="18"/>
              </w:rPr>
            </w:pPr>
            <w:r>
              <w:rPr>
                <w:rFonts w:ascii="宋体" w:hAnsi="宋体" w:eastAsia="宋体" w:cs="宋体"/>
                <w:sz w:val="18"/>
                <w:szCs w:val="18"/>
              </w:rPr>
              <w:t>82,440,258.43</w:t>
            </w:r>
          </w:p>
        </w:tc>
        <w:tc>
          <w:tcPr>
            <w:tcW w:w="1666" w:type="pct"/>
            <w:vAlign w:val="center"/>
          </w:tcPr>
          <w:p w14:paraId="0999F962">
            <w:pPr>
              <w:spacing w:before="0" w:after="0" w:line="240" w:lineRule="exact"/>
              <w:jc w:val="right"/>
              <w:rPr>
                <w:rFonts w:ascii="宋体" w:hAnsi="宋体" w:eastAsia="宋体" w:cs="宋体"/>
                <w:sz w:val="18"/>
                <w:szCs w:val="18"/>
              </w:rPr>
            </w:pPr>
            <w:r>
              <w:rPr>
                <w:rFonts w:ascii="宋体" w:hAnsi="宋体" w:eastAsia="宋体" w:cs="宋体"/>
                <w:sz w:val="18"/>
                <w:szCs w:val="18"/>
              </w:rPr>
              <w:t>124,073,723.14</w:t>
            </w:r>
          </w:p>
        </w:tc>
      </w:tr>
      <w:tr w14:paraId="79E1D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66" w:type="pct"/>
            <w:shd w:val="clear" w:color="auto" w:fill="D3D3D3"/>
            <w:vAlign w:val="center"/>
          </w:tcPr>
          <w:p w14:paraId="6C8FFEDA">
            <w:pPr>
              <w:spacing w:before="0" w:after="0" w:line="240" w:lineRule="exact"/>
              <w:jc w:val="left"/>
              <w:rPr>
                <w:rFonts w:ascii="宋体" w:hAnsi="宋体" w:eastAsia="宋体" w:cs="宋体"/>
                <w:sz w:val="18"/>
                <w:szCs w:val="18"/>
              </w:rPr>
            </w:pPr>
            <w:r>
              <w:rPr>
                <w:rFonts w:ascii="宋体" w:hAnsi="宋体" w:eastAsia="宋体" w:cs="宋体"/>
                <w:sz w:val="18"/>
                <w:szCs w:val="18"/>
              </w:rPr>
              <w:t>非流动负债：</w:t>
            </w:r>
          </w:p>
        </w:tc>
        <w:tc>
          <w:tcPr>
            <w:tcW w:w="1666" w:type="pct"/>
            <w:shd w:val="clear" w:color="auto" w:fill="D3D3D3"/>
            <w:vAlign w:val="center"/>
          </w:tcPr>
          <w:p w14:paraId="761102C7"/>
        </w:tc>
        <w:tc>
          <w:tcPr>
            <w:tcW w:w="1666" w:type="pct"/>
            <w:shd w:val="clear" w:color="auto" w:fill="D3D3D3"/>
            <w:vAlign w:val="center"/>
          </w:tcPr>
          <w:p w14:paraId="5696269B"/>
        </w:tc>
      </w:tr>
      <w:tr w14:paraId="48552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66" w:type="pct"/>
            <w:shd w:val="clear" w:color="auto" w:fill="D3D3D3"/>
            <w:vAlign w:val="center"/>
          </w:tcPr>
          <w:p w14:paraId="51DE4BFE">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保险合同准备金</w:t>
            </w:r>
          </w:p>
        </w:tc>
        <w:tc>
          <w:tcPr>
            <w:tcW w:w="1666" w:type="pct"/>
            <w:vAlign w:val="center"/>
          </w:tcPr>
          <w:p w14:paraId="27EC3E5B">
            <w:pPr>
              <w:spacing w:before="0" w:after="0" w:line="240" w:lineRule="exact"/>
              <w:jc w:val="right"/>
              <w:rPr>
                <w:rFonts w:ascii="宋体" w:hAnsi="宋体" w:eastAsia="宋体" w:cs="宋体"/>
                <w:sz w:val="18"/>
                <w:szCs w:val="18"/>
              </w:rPr>
            </w:pPr>
          </w:p>
        </w:tc>
        <w:tc>
          <w:tcPr>
            <w:tcW w:w="1666" w:type="pct"/>
            <w:vAlign w:val="center"/>
          </w:tcPr>
          <w:p w14:paraId="7233CB69">
            <w:pPr>
              <w:spacing w:before="0" w:after="0" w:line="240" w:lineRule="exact"/>
              <w:jc w:val="right"/>
              <w:rPr>
                <w:rFonts w:ascii="宋体" w:hAnsi="宋体" w:eastAsia="宋体" w:cs="宋体"/>
                <w:sz w:val="18"/>
                <w:szCs w:val="18"/>
              </w:rPr>
            </w:pPr>
          </w:p>
        </w:tc>
      </w:tr>
      <w:tr w14:paraId="11257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66" w:type="pct"/>
            <w:shd w:val="clear" w:color="auto" w:fill="D3D3D3"/>
            <w:vAlign w:val="center"/>
          </w:tcPr>
          <w:p w14:paraId="2A13E9E3">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长期借款</w:t>
            </w:r>
          </w:p>
        </w:tc>
        <w:tc>
          <w:tcPr>
            <w:tcW w:w="1666" w:type="pct"/>
            <w:vAlign w:val="center"/>
          </w:tcPr>
          <w:p w14:paraId="087A7AEF">
            <w:pPr>
              <w:spacing w:before="0" w:after="0" w:line="240" w:lineRule="exact"/>
              <w:jc w:val="right"/>
              <w:rPr>
                <w:rFonts w:ascii="宋体" w:hAnsi="宋体" w:eastAsia="宋体" w:cs="宋体"/>
                <w:sz w:val="18"/>
                <w:szCs w:val="18"/>
              </w:rPr>
            </w:pPr>
          </w:p>
        </w:tc>
        <w:tc>
          <w:tcPr>
            <w:tcW w:w="1666" w:type="pct"/>
            <w:vAlign w:val="center"/>
          </w:tcPr>
          <w:p w14:paraId="21CDC241">
            <w:pPr>
              <w:spacing w:before="0" w:after="0" w:line="240" w:lineRule="exact"/>
              <w:jc w:val="right"/>
              <w:rPr>
                <w:rFonts w:ascii="宋体" w:hAnsi="宋体" w:eastAsia="宋体" w:cs="宋体"/>
                <w:sz w:val="18"/>
                <w:szCs w:val="18"/>
              </w:rPr>
            </w:pPr>
          </w:p>
        </w:tc>
      </w:tr>
      <w:tr w14:paraId="6ED19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66" w:type="pct"/>
            <w:shd w:val="clear" w:color="auto" w:fill="D3D3D3"/>
            <w:vAlign w:val="center"/>
          </w:tcPr>
          <w:p w14:paraId="03BB78A8">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应付债券</w:t>
            </w:r>
          </w:p>
        </w:tc>
        <w:tc>
          <w:tcPr>
            <w:tcW w:w="1666" w:type="pct"/>
            <w:vAlign w:val="center"/>
          </w:tcPr>
          <w:p w14:paraId="558C8E43">
            <w:pPr>
              <w:spacing w:before="0" w:after="0" w:line="240" w:lineRule="exact"/>
              <w:jc w:val="right"/>
              <w:rPr>
                <w:rFonts w:ascii="宋体" w:hAnsi="宋体" w:eastAsia="宋体" w:cs="宋体"/>
                <w:sz w:val="18"/>
                <w:szCs w:val="18"/>
              </w:rPr>
            </w:pPr>
          </w:p>
        </w:tc>
        <w:tc>
          <w:tcPr>
            <w:tcW w:w="1666" w:type="pct"/>
            <w:vAlign w:val="center"/>
          </w:tcPr>
          <w:p w14:paraId="6A236550">
            <w:pPr>
              <w:spacing w:before="0" w:after="0" w:line="240" w:lineRule="exact"/>
              <w:jc w:val="right"/>
              <w:rPr>
                <w:rFonts w:ascii="宋体" w:hAnsi="宋体" w:eastAsia="宋体" w:cs="宋体"/>
                <w:sz w:val="18"/>
                <w:szCs w:val="18"/>
              </w:rPr>
            </w:pPr>
          </w:p>
        </w:tc>
      </w:tr>
      <w:tr w14:paraId="5E715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66" w:type="pct"/>
            <w:shd w:val="clear" w:color="auto" w:fill="D3D3D3"/>
            <w:vAlign w:val="center"/>
          </w:tcPr>
          <w:p w14:paraId="4EF5E6AB">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其中：优先股</w:t>
            </w:r>
          </w:p>
        </w:tc>
        <w:tc>
          <w:tcPr>
            <w:tcW w:w="1666" w:type="pct"/>
            <w:vAlign w:val="center"/>
          </w:tcPr>
          <w:p w14:paraId="3068888F">
            <w:pPr>
              <w:spacing w:before="0" w:after="0" w:line="240" w:lineRule="exact"/>
              <w:jc w:val="right"/>
              <w:rPr>
                <w:rFonts w:ascii="宋体" w:hAnsi="宋体" w:eastAsia="宋体" w:cs="宋体"/>
                <w:sz w:val="18"/>
                <w:szCs w:val="18"/>
              </w:rPr>
            </w:pPr>
          </w:p>
        </w:tc>
        <w:tc>
          <w:tcPr>
            <w:tcW w:w="1666" w:type="pct"/>
            <w:vAlign w:val="center"/>
          </w:tcPr>
          <w:p w14:paraId="714EEE6C">
            <w:pPr>
              <w:spacing w:before="0" w:after="0" w:line="240" w:lineRule="exact"/>
              <w:jc w:val="right"/>
              <w:rPr>
                <w:rFonts w:ascii="宋体" w:hAnsi="宋体" w:eastAsia="宋体" w:cs="宋体"/>
                <w:sz w:val="18"/>
                <w:szCs w:val="18"/>
              </w:rPr>
            </w:pPr>
          </w:p>
        </w:tc>
      </w:tr>
      <w:tr w14:paraId="32654DA5">
        <w:tblPrEx>
          <w:tblCellMar>
            <w:top w:w="0" w:type="dxa"/>
            <w:left w:w="108" w:type="dxa"/>
            <w:bottom w:w="0" w:type="dxa"/>
            <w:right w:w="108" w:type="dxa"/>
          </w:tblCellMar>
        </w:tblPrEx>
        <w:trPr>
          <w:trHeight w:val="283" w:hRule="atLeast"/>
        </w:trPr>
        <w:tc>
          <w:tcPr>
            <w:tcW w:w="1666" w:type="pct"/>
            <w:shd w:val="clear" w:color="auto" w:fill="D3D3D3"/>
            <w:vAlign w:val="center"/>
          </w:tcPr>
          <w:p w14:paraId="09B36FBD">
            <w:pPr>
              <w:spacing w:before="0" w:after="0" w:line="240" w:lineRule="exact"/>
              <w:ind w:firstLine="900" w:firstLineChars="500"/>
              <w:jc w:val="left"/>
              <w:rPr>
                <w:rFonts w:ascii="宋体" w:hAnsi="宋体" w:eastAsia="宋体" w:cs="宋体"/>
                <w:sz w:val="18"/>
                <w:szCs w:val="18"/>
              </w:rPr>
            </w:pPr>
            <w:r>
              <w:rPr>
                <w:rFonts w:ascii="宋体" w:hAnsi="宋体" w:eastAsia="宋体" w:cs="宋体"/>
                <w:sz w:val="18"/>
                <w:szCs w:val="18"/>
              </w:rPr>
              <w:t>永续债</w:t>
            </w:r>
          </w:p>
        </w:tc>
        <w:tc>
          <w:tcPr>
            <w:tcW w:w="1666" w:type="pct"/>
            <w:vAlign w:val="center"/>
          </w:tcPr>
          <w:p w14:paraId="79C017D3">
            <w:pPr>
              <w:spacing w:before="0" w:after="0" w:line="240" w:lineRule="exact"/>
              <w:jc w:val="right"/>
              <w:rPr>
                <w:rFonts w:ascii="宋体" w:hAnsi="宋体" w:eastAsia="宋体" w:cs="宋体"/>
                <w:sz w:val="18"/>
                <w:szCs w:val="18"/>
              </w:rPr>
            </w:pPr>
          </w:p>
        </w:tc>
        <w:tc>
          <w:tcPr>
            <w:tcW w:w="1666" w:type="pct"/>
            <w:vAlign w:val="center"/>
          </w:tcPr>
          <w:p w14:paraId="0D6AF7DF">
            <w:pPr>
              <w:spacing w:before="0" w:after="0" w:line="240" w:lineRule="exact"/>
              <w:jc w:val="right"/>
              <w:rPr>
                <w:rFonts w:ascii="宋体" w:hAnsi="宋体" w:eastAsia="宋体" w:cs="宋体"/>
                <w:sz w:val="18"/>
                <w:szCs w:val="18"/>
              </w:rPr>
            </w:pPr>
          </w:p>
        </w:tc>
      </w:tr>
      <w:tr w14:paraId="298D6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66" w:type="pct"/>
            <w:shd w:val="clear" w:color="auto" w:fill="D3D3D3"/>
            <w:vAlign w:val="center"/>
          </w:tcPr>
          <w:p w14:paraId="00F6D432">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租赁负债</w:t>
            </w:r>
          </w:p>
        </w:tc>
        <w:tc>
          <w:tcPr>
            <w:tcW w:w="1666" w:type="pct"/>
            <w:vAlign w:val="center"/>
          </w:tcPr>
          <w:p w14:paraId="24939818">
            <w:pPr>
              <w:spacing w:before="0" w:after="0" w:line="240" w:lineRule="exact"/>
              <w:jc w:val="right"/>
              <w:rPr>
                <w:rFonts w:ascii="宋体" w:hAnsi="宋体" w:eastAsia="宋体" w:cs="宋体"/>
                <w:sz w:val="18"/>
                <w:szCs w:val="18"/>
              </w:rPr>
            </w:pPr>
          </w:p>
        </w:tc>
        <w:tc>
          <w:tcPr>
            <w:tcW w:w="1666" w:type="pct"/>
            <w:vAlign w:val="center"/>
          </w:tcPr>
          <w:p w14:paraId="7B7010DC">
            <w:pPr>
              <w:spacing w:before="0" w:after="0" w:line="240" w:lineRule="exact"/>
              <w:jc w:val="right"/>
              <w:rPr>
                <w:rFonts w:ascii="宋体" w:hAnsi="宋体" w:eastAsia="宋体" w:cs="宋体"/>
                <w:sz w:val="18"/>
                <w:szCs w:val="18"/>
              </w:rPr>
            </w:pPr>
          </w:p>
        </w:tc>
      </w:tr>
      <w:tr w14:paraId="66867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66" w:type="pct"/>
            <w:shd w:val="clear" w:color="auto" w:fill="D3D3D3"/>
            <w:vAlign w:val="center"/>
          </w:tcPr>
          <w:p w14:paraId="55CDF70D">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长期应付款</w:t>
            </w:r>
          </w:p>
        </w:tc>
        <w:tc>
          <w:tcPr>
            <w:tcW w:w="1666" w:type="pct"/>
            <w:vAlign w:val="center"/>
          </w:tcPr>
          <w:p w14:paraId="35C730D7">
            <w:pPr>
              <w:spacing w:before="0" w:after="0" w:line="240" w:lineRule="exact"/>
              <w:jc w:val="right"/>
              <w:rPr>
                <w:rFonts w:ascii="宋体" w:hAnsi="宋体" w:eastAsia="宋体" w:cs="宋体"/>
                <w:sz w:val="18"/>
                <w:szCs w:val="18"/>
              </w:rPr>
            </w:pPr>
          </w:p>
        </w:tc>
        <w:tc>
          <w:tcPr>
            <w:tcW w:w="1666" w:type="pct"/>
            <w:vAlign w:val="center"/>
          </w:tcPr>
          <w:p w14:paraId="0FCC49C4">
            <w:pPr>
              <w:spacing w:before="0" w:after="0" w:line="240" w:lineRule="exact"/>
              <w:jc w:val="right"/>
              <w:rPr>
                <w:rFonts w:ascii="宋体" w:hAnsi="宋体" w:eastAsia="宋体" w:cs="宋体"/>
                <w:sz w:val="18"/>
                <w:szCs w:val="18"/>
              </w:rPr>
            </w:pPr>
          </w:p>
        </w:tc>
      </w:tr>
      <w:tr w14:paraId="76DB1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66" w:type="pct"/>
            <w:shd w:val="clear" w:color="auto" w:fill="D3D3D3"/>
            <w:vAlign w:val="center"/>
          </w:tcPr>
          <w:p w14:paraId="0021FA51">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长期应付职工薪酬</w:t>
            </w:r>
          </w:p>
        </w:tc>
        <w:tc>
          <w:tcPr>
            <w:tcW w:w="1666" w:type="pct"/>
            <w:vAlign w:val="center"/>
          </w:tcPr>
          <w:p w14:paraId="2BD88BD1">
            <w:pPr>
              <w:spacing w:before="0" w:after="0" w:line="240" w:lineRule="exact"/>
              <w:jc w:val="right"/>
              <w:rPr>
                <w:rFonts w:ascii="宋体" w:hAnsi="宋体" w:eastAsia="宋体" w:cs="宋体"/>
                <w:sz w:val="18"/>
                <w:szCs w:val="18"/>
              </w:rPr>
            </w:pPr>
            <w:r>
              <w:rPr>
                <w:rFonts w:ascii="宋体" w:hAnsi="宋体" w:eastAsia="宋体" w:cs="宋体"/>
                <w:sz w:val="18"/>
                <w:szCs w:val="18"/>
              </w:rPr>
              <w:t>1,013,091.42</w:t>
            </w:r>
          </w:p>
        </w:tc>
        <w:tc>
          <w:tcPr>
            <w:tcW w:w="1666" w:type="pct"/>
            <w:vAlign w:val="center"/>
          </w:tcPr>
          <w:p w14:paraId="79CDFBDA">
            <w:pPr>
              <w:spacing w:before="0" w:after="0" w:line="240" w:lineRule="exact"/>
              <w:jc w:val="right"/>
              <w:rPr>
                <w:rFonts w:ascii="宋体" w:hAnsi="宋体" w:eastAsia="宋体" w:cs="宋体"/>
                <w:sz w:val="18"/>
                <w:szCs w:val="18"/>
              </w:rPr>
            </w:pPr>
            <w:r>
              <w:rPr>
                <w:rFonts w:ascii="宋体" w:hAnsi="宋体" w:eastAsia="宋体" w:cs="宋体"/>
                <w:sz w:val="18"/>
                <w:szCs w:val="18"/>
              </w:rPr>
              <w:t>1,013,091.42</w:t>
            </w:r>
          </w:p>
        </w:tc>
      </w:tr>
      <w:tr w14:paraId="30EEE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66" w:type="pct"/>
            <w:shd w:val="clear" w:color="auto" w:fill="D3D3D3"/>
            <w:vAlign w:val="center"/>
          </w:tcPr>
          <w:p w14:paraId="54480DF8">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预计负债</w:t>
            </w:r>
          </w:p>
        </w:tc>
        <w:tc>
          <w:tcPr>
            <w:tcW w:w="1666" w:type="pct"/>
            <w:vAlign w:val="center"/>
          </w:tcPr>
          <w:p w14:paraId="63F11B4E">
            <w:pPr>
              <w:spacing w:before="0" w:after="0" w:line="240" w:lineRule="exact"/>
              <w:jc w:val="right"/>
              <w:rPr>
                <w:rFonts w:ascii="宋体" w:hAnsi="宋体" w:eastAsia="宋体" w:cs="宋体"/>
                <w:sz w:val="18"/>
                <w:szCs w:val="18"/>
              </w:rPr>
            </w:pPr>
          </w:p>
        </w:tc>
        <w:tc>
          <w:tcPr>
            <w:tcW w:w="1666" w:type="pct"/>
            <w:vAlign w:val="center"/>
          </w:tcPr>
          <w:p w14:paraId="40B8239E">
            <w:pPr>
              <w:spacing w:before="0" w:after="0" w:line="240" w:lineRule="exact"/>
              <w:jc w:val="right"/>
              <w:rPr>
                <w:rFonts w:ascii="宋体" w:hAnsi="宋体" w:eastAsia="宋体" w:cs="宋体"/>
                <w:sz w:val="18"/>
                <w:szCs w:val="18"/>
              </w:rPr>
            </w:pPr>
          </w:p>
        </w:tc>
      </w:tr>
      <w:tr w14:paraId="642F5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66" w:type="pct"/>
            <w:shd w:val="clear" w:color="auto" w:fill="D3D3D3"/>
            <w:vAlign w:val="center"/>
          </w:tcPr>
          <w:p w14:paraId="18AD4622">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递延收益</w:t>
            </w:r>
          </w:p>
        </w:tc>
        <w:tc>
          <w:tcPr>
            <w:tcW w:w="1666" w:type="pct"/>
            <w:vAlign w:val="center"/>
          </w:tcPr>
          <w:p w14:paraId="06DFA572">
            <w:pPr>
              <w:spacing w:before="0" w:after="0" w:line="240" w:lineRule="exact"/>
              <w:jc w:val="right"/>
              <w:rPr>
                <w:rFonts w:ascii="宋体" w:hAnsi="宋体" w:eastAsia="宋体" w:cs="宋体"/>
                <w:sz w:val="18"/>
                <w:szCs w:val="18"/>
              </w:rPr>
            </w:pPr>
            <w:r>
              <w:rPr>
                <w:rFonts w:ascii="宋体" w:hAnsi="宋体" w:eastAsia="宋体" w:cs="宋体"/>
                <w:sz w:val="18"/>
                <w:szCs w:val="18"/>
              </w:rPr>
              <w:t>716,172.50</w:t>
            </w:r>
          </w:p>
        </w:tc>
        <w:tc>
          <w:tcPr>
            <w:tcW w:w="1666" w:type="pct"/>
            <w:vAlign w:val="center"/>
          </w:tcPr>
          <w:p w14:paraId="16EDC64D">
            <w:pPr>
              <w:spacing w:before="0" w:after="0" w:line="240" w:lineRule="exact"/>
              <w:jc w:val="right"/>
              <w:rPr>
                <w:rFonts w:ascii="宋体" w:hAnsi="宋体" w:eastAsia="宋体" w:cs="宋体"/>
                <w:sz w:val="18"/>
                <w:szCs w:val="18"/>
              </w:rPr>
            </w:pPr>
            <w:r>
              <w:rPr>
                <w:rFonts w:ascii="宋体" w:hAnsi="宋体" w:eastAsia="宋体" w:cs="宋体"/>
                <w:sz w:val="18"/>
                <w:szCs w:val="18"/>
              </w:rPr>
              <w:t>760,793.90</w:t>
            </w:r>
          </w:p>
        </w:tc>
      </w:tr>
      <w:tr w14:paraId="6227A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66" w:type="pct"/>
            <w:shd w:val="clear" w:color="auto" w:fill="D3D3D3"/>
            <w:vAlign w:val="center"/>
          </w:tcPr>
          <w:p w14:paraId="6B04E90D">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递延所得税负债</w:t>
            </w:r>
          </w:p>
        </w:tc>
        <w:tc>
          <w:tcPr>
            <w:tcW w:w="1666" w:type="pct"/>
            <w:vAlign w:val="center"/>
          </w:tcPr>
          <w:p w14:paraId="66C306B2">
            <w:pPr>
              <w:spacing w:before="0" w:after="0" w:line="240" w:lineRule="exact"/>
              <w:jc w:val="right"/>
              <w:rPr>
                <w:rFonts w:ascii="宋体" w:hAnsi="宋体" w:eastAsia="宋体" w:cs="宋体"/>
                <w:sz w:val="18"/>
                <w:szCs w:val="18"/>
              </w:rPr>
            </w:pPr>
          </w:p>
        </w:tc>
        <w:tc>
          <w:tcPr>
            <w:tcW w:w="1666" w:type="pct"/>
            <w:vAlign w:val="center"/>
          </w:tcPr>
          <w:p w14:paraId="29BBBCEC">
            <w:pPr>
              <w:spacing w:before="0" w:after="0" w:line="240" w:lineRule="exact"/>
              <w:jc w:val="right"/>
              <w:rPr>
                <w:rFonts w:ascii="宋体" w:hAnsi="宋体" w:eastAsia="宋体" w:cs="宋体"/>
                <w:sz w:val="18"/>
                <w:szCs w:val="18"/>
              </w:rPr>
            </w:pPr>
          </w:p>
        </w:tc>
      </w:tr>
      <w:tr w14:paraId="4057E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66" w:type="pct"/>
            <w:shd w:val="clear" w:color="auto" w:fill="D3D3D3"/>
            <w:vAlign w:val="center"/>
          </w:tcPr>
          <w:p w14:paraId="281D6C98">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其他非流动负债</w:t>
            </w:r>
          </w:p>
        </w:tc>
        <w:tc>
          <w:tcPr>
            <w:tcW w:w="1666" w:type="pct"/>
            <w:vAlign w:val="center"/>
          </w:tcPr>
          <w:p w14:paraId="10A871FF">
            <w:pPr>
              <w:spacing w:before="0" w:after="0" w:line="240" w:lineRule="exact"/>
              <w:jc w:val="right"/>
              <w:rPr>
                <w:rFonts w:ascii="宋体" w:hAnsi="宋体" w:eastAsia="宋体" w:cs="宋体"/>
                <w:sz w:val="18"/>
                <w:szCs w:val="18"/>
              </w:rPr>
            </w:pPr>
          </w:p>
        </w:tc>
        <w:tc>
          <w:tcPr>
            <w:tcW w:w="1666" w:type="pct"/>
            <w:vAlign w:val="center"/>
          </w:tcPr>
          <w:p w14:paraId="282D0A44">
            <w:pPr>
              <w:spacing w:before="0" w:after="0" w:line="240" w:lineRule="exact"/>
              <w:jc w:val="right"/>
              <w:rPr>
                <w:rFonts w:ascii="宋体" w:hAnsi="宋体" w:eastAsia="宋体" w:cs="宋体"/>
                <w:sz w:val="18"/>
                <w:szCs w:val="18"/>
              </w:rPr>
            </w:pPr>
          </w:p>
        </w:tc>
      </w:tr>
      <w:tr w14:paraId="6A9D9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66" w:type="pct"/>
            <w:shd w:val="clear" w:color="auto" w:fill="D3D3D3"/>
            <w:vAlign w:val="center"/>
          </w:tcPr>
          <w:p w14:paraId="20B46613">
            <w:pPr>
              <w:spacing w:before="0" w:after="0" w:line="240" w:lineRule="exact"/>
              <w:jc w:val="left"/>
              <w:rPr>
                <w:rFonts w:ascii="宋体" w:hAnsi="宋体" w:eastAsia="宋体" w:cs="宋体"/>
                <w:sz w:val="18"/>
                <w:szCs w:val="18"/>
              </w:rPr>
            </w:pPr>
            <w:r>
              <w:rPr>
                <w:rFonts w:ascii="宋体" w:hAnsi="宋体" w:eastAsia="宋体" w:cs="宋体"/>
                <w:sz w:val="18"/>
                <w:szCs w:val="18"/>
              </w:rPr>
              <w:t>非流动负债合计</w:t>
            </w:r>
          </w:p>
        </w:tc>
        <w:tc>
          <w:tcPr>
            <w:tcW w:w="1666" w:type="pct"/>
            <w:vAlign w:val="center"/>
          </w:tcPr>
          <w:p w14:paraId="17177027">
            <w:pPr>
              <w:spacing w:before="0" w:after="0" w:line="240" w:lineRule="exact"/>
              <w:jc w:val="right"/>
              <w:rPr>
                <w:rFonts w:ascii="宋体" w:hAnsi="宋体" w:eastAsia="宋体" w:cs="宋体"/>
                <w:sz w:val="18"/>
                <w:szCs w:val="18"/>
              </w:rPr>
            </w:pPr>
            <w:r>
              <w:rPr>
                <w:rFonts w:ascii="宋体" w:hAnsi="宋体" w:eastAsia="宋体" w:cs="宋体"/>
                <w:sz w:val="18"/>
                <w:szCs w:val="18"/>
              </w:rPr>
              <w:t>1,729,263.92</w:t>
            </w:r>
          </w:p>
        </w:tc>
        <w:tc>
          <w:tcPr>
            <w:tcW w:w="1666" w:type="pct"/>
            <w:vAlign w:val="center"/>
          </w:tcPr>
          <w:p w14:paraId="1C0D6663">
            <w:pPr>
              <w:spacing w:before="0" w:after="0" w:line="240" w:lineRule="exact"/>
              <w:jc w:val="right"/>
              <w:rPr>
                <w:rFonts w:ascii="宋体" w:hAnsi="宋体" w:eastAsia="宋体" w:cs="宋体"/>
                <w:sz w:val="18"/>
                <w:szCs w:val="18"/>
              </w:rPr>
            </w:pPr>
            <w:r>
              <w:rPr>
                <w:rFonts w:ascii="宋体" w:hAnsi="宋体" w:eastAsia="宋体" w:cs="宋体"/>
                <w:sz w:val="18"/>
                <w:szCs w:val="18"/>
              </w:rPr>
              <w:t>1,773,885.32</w:t>
            </w:r>
          </w:p>
        </w:tc>
      </w:tr>
      <w:tr w14:paraId="06516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66" w:type="pct"/>
            <w:shd w:val="clear" w:color="auto" w:fill="D3D3D3"/>
            <w:vAlign w:val="center"/>
          </w:tcPr>
          <w:p w14:paraId="1C5BD473">
            <w:pPr>
              <w:spacing w:before="0" w:after="0" w:line="240" w:lineRule="exact"/>
              <w:jc w:val="left"/>
              <w:rPr>
                <w:rFonts w:ascii="宋体" w:hAnsi="宋体" w:eastAsia="宋体" w:cs="宋体"/>
                <w:sz w:val="18"/>
                <w:szCs w:val="18"/>
              </w:rPr>
            </w:pPr>
            <w:r>
              <w:rPr>
                <w:rFonts w:ascii="宋体" w:hAnsi="宋体" w:eastAsia="宋体" w:cs="宋体"/>
                <w:sz w:val="18"/>
                <w:szCs w:val="18"/>
              </w:rPr>
              <w:t>负债合计</w:t>
            </w:r>
          </w:p>
        </w:tc>
        <w:tc>
          <w:tcPr>
            <w:tcW w:w="1666" w:type="pct"/>
            <w:vAlign w:val="center"/>
          </w:tcPr>
          <w:p w14:paraId="53BECB9D">
            <w:pPr>
              <w:spacing w:before="0" w:after="0" w:line="240" w:lineRule="exact"/>
              <w:jc w:val="right"/>
              <w:rPr>
                <w:rFonts w:ascii="宋体" w:hAnsi="宋体" w:eastAsia="宋体" w:cs="宋体"/>
                <w:sz w:val="18"/>
                <w:szCs w:val="18"/>
              </w:rPr>
            </w:pPr>
            <w:r>
              <w:rPr>
                <w:rFonts w:ascii="宋体" w:hAnsi="宋体" w:eastAsia="宋体" w:cs="宋体"/>
                <w:sz w:val="18"/>
                <w:szCs w:val="18"/>
              </w:rPr>
              <w:t>84,169,522.35</w:t>
            </w:r>
          </w:p>
        </w:tc>
        <w:tc>
          <w:tcPr>
            <w:tcW w:w="1666" w:type="pct"/>
            <w:vAlign w:val="center"/>
          </w:tcPr>
          <w:p w14:paraId="26994A22">
            <w:pPr>
              <w:spacing w:before="0" w:after="0" w:line="240" w:lineRule="exact"/>
              <w:jc w:val="right"/>
              <w:rPr>
                <w:rFonts w:ascii="宋体" w:hAnsi="宋体" w:eastAsia="宋体" w:cs="宋体"/>
                <w:sz w:val="18"/>
                <w:szCs w:val="18"/>
              </w:rPr>
            </w:pPr>
            <w:r>
              <w:rPr>
                <w:rFonts w:ascii="宋体" w:hAnsi="宋体" w:eastAsia="宋体" w:cs="宋体"/>
                <w:sz w:val="18"/>
                <w:szCs w:val="18"/>
              </w:rPr>
              <w:t>125,847,608.46</w:t>
            </w:r>
          </w:p>
        </w:tc>
      </w:tr>
      <w:tr w14:paraId="2A2B8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66" w:type="pct"/>
            <w:shd w:val="clear" w:color="auto" w:fill="D3D3D3"/>
            <w:vAlign w:val="center"/>
          </w:tcPr>
          <w:p w14:paraId="12BC79FE">
            <w:pPr>
              <w:spacing w:before="0" w:after="0" w:line="240" w:lineRule="exact"/>
              <w:jc w:val="left"/>
              <w:rPr>
                <w:rFonts w:ascii="宋体" w:hAnsi="宋体" w:eastAsia="宋体" w:cs="宋体"/>
                <w:sz w:val="18"/>
                <w:szCs w:val="18"/>
              </w:rPr>
            </w:pPr>
            <w:r>
              <w:rPr>
                <w:rFonts w:ascii="宋体" w:hAnsi="宋体" w:eastAsia="宋体" w:cs="宋体"/>
                <w:sz w:val="18"/>
                <w:szCs w:val="18"/>
              </w:rPr>
              <w:t>所有者权益：</w:t>
            </w:r>
          </w:p>
        </w:tc>
        <w:tc>
          <w:tcPr>
            <w:tcW w:w="1666" w:type="pct"/>
            <w:shd w:val="clear" w:color="auto" w:fill="D3D3D3"/>
            <w:vAlign w:val="center"/>
          </w:tcPr>
          <w:p w14:paraId="71779302"/>
        </w:tc>
        <w:tc>
          <w:tcPr>
            <w:tcW w:w="1666" w:type="pct"/>
            <w:shd w:val="clear" w:color="auto" w:fill="D3D3D3"/>
            <w:vAlign w:val="center"/>
          </w:tcPr>
          <w:p w14:paraId="4C7464D1"/>
        </w:tc>
      </w:tr>
      <w:tr w14:paraId="49B10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66" w:type="pct"/>
            <w:shd w:val="clear" w:color="auto" w:fill="D3D3D3"/>
            <w:vAlign w:val="center"/>
          </w:tcPr>
          <w:p w14:paraId="26F7532A">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股本</w:t>
            </w:r>
          </w:p>
        </w:tc>
        <w:tc>
          <w:tcPr>
            <w:tcW w:w="1666" w:type="pct"/>
            <w:vAlign w:val="center"/>
          </w:tcPr>
          <w:p w14:paraId="47382710">
            <w:pPr>
              <w:spacing w:before="0" w:after="0" w:line="240" w:lineRule="exact"/>
              <w:jc w:val="right"/>
              <w:rPr>
                <w:rFonts w:ascii="宋体" w:hAnsi="宋体" w:eastAsia="宋体" w:cs="宋体"/>
                <w:sz w:val="18"/>
                <w:szCs w:val="18"/>
              </w:rPr>
            </w:pPr>
            <w:r>
              <w:rPr>
                <w:rFonts w:ascii="宋体" w:hAnsi="宋体" w:eastAsia="宋体" w:cs="宋体"/>
                <w:sz w:val="18"/>
                <w:szCs w:val="18"/>
              </w:rPr>
              <w:t>194,983,750.00</w:t>
            </w:r>
          </w:p>
        </w:tc>
        <w:tc>
          <w:tcPr>
            <w:tcW w:w="1666" w:type="pct"/>
            <w:vAlign w:val="center"/>
          </w:tcPr>
          <w:p w14:paraId="1014291A">
            <w:pPr>
              <w:spacing w:before="0" w:after="0" w:line="240" w:lineRule="exact"/>
              <w:jc w:val="right"/>
              <w:rPr>
                <w:rFonts w:ascii="宋体" w:hAnsi="宋体" w:eastAsia="宋体" w:cs="宋体"/>
                <w:sz w:val="18"/>
                <w:szCs w:val="18"/>
              </w:rPr>
            </w:pPr>
            <w:r>
              <w:rPr>
                <w:rFonts w:ascii="宋体" w:hAnsi="宋体" w:eastAsia="宋体" w:cs="宋体"/>
                <w:sz w:val="18"/>
                <w:szCs w:val="18"/>
              </w:rPr>
              <w:t>194,983,750.00</w:t>
            </w:r>
          </w:p>
        </w:tc>
      </w:tr>
      <w:tr w14:paraId="16F4B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66" w:type="pct"/>
            <w:shd w:val="clear" w:color="auto" w:fill="D3D3D3"/>
            <w:vAlign w:val="center"/>
          </w:tcPr>
          <w:p w14:paraId="367FE66A">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其他权益工具</w:t>
            </w:r>
          </w:p>
        </w:tc>
        <w:tc>
          <w:tcPr>
            <w:tcW w:w="1666" w:type="pct"/>
            <w:vAlign w:val="center"/>
          </w:tcPr>
          <w:p w14:paraId="0D4C9D1F">
            <w:pPr>
              <w:spacing w:before="0" w:after="0" w:line="240" w:lineRule="exact"/>
              <w:jc w:val="right"/>
              <w:rPr>
                <w:rFonts w:ascii="宋体" w:hAnsi="宋体" w:eastAsia="宋体" w:cs="宋体"/>
                <w:sz w:val="18"/>
                <w:szCs w:val="18"/>
              </w:rPr>
            </w:pPr>
          </w:p>
        </w:tc>
        <w:tc>
          <w:tcPr>
            <w:tcW w:w="1666" w:type="pct"/>
            <w:vAlign w:val="center"/>
          </w:tcPr>
          <w:p w14:paraId="3BF07619">
            <w:pPr>
              <w:spacing w:before="0" w:after="0" w:line="240" w:lineRule="exact"/>
              <w:jc w:val="right"/>
              <w:rPr>
                <w:rFonts w:ascii="宋体" w:hAnsi="宋体" w:eastAsia="宋体" w:cs="宋体"/>
                <w:sz w:val="18"/>
                <w:szCs w:val="18"/>
              </w:rPr>
            </w:pPr>
          </w:p>
        </w:tc>
      </w:tr>
      <w:tr w14:paraId="46D1A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66" w:type="pct"/>
            <w:shd w:val="clear" w:color="auto" w:fill="D3D3D3"/>
            <w:vAlign w:val="center"/>
          </w:tcPr>
          <w:p w14:paraId="4F69A89E">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其中：优先股</w:t>
            </w:r>
          </w:p>
        </w:tc>
        <w:tc>
          <w:tcPr>
            <w:tcW w:w="1666" w:type="pct"/>
            <w:vAlign w:val="center"/>
          </w:tcPr>
          <w:p w14:paraId="004F000F">
            <w:pPr>
              <w:spacing w:before="0" w:after="0" w:line="240" w:lineRule="exact"/>
              <w:jc w:val="right"/>
              <w:rPr>
                <w:rFonts w:ascii="宋体" w:hAnsi="宋体" w:eastAsia="宋体" w:cs="宋体"/>
                <w:sz w:val="18"/>
                <w:szCs w:val="18"/>
              </w:rPr>
            </w:pPr>
          </w:p>
        </w:tc>
        <w:tc>
          <w:tcPr>
            <w:tcW w:w="1666" w:type="pct"/>
            <w:vAlign w:val="center"/>
          </w:tcPr>
          <w:p w14:paraId="06104D59">
            <w:pPr>
              <w:spacing w:before="0" w:after="0" w:line="240" w:lineRule="exact"/>
              <w:jc w:val="right"/>
              <w:rPr>
                <w:rFonts w:ascii="宋体" w:hAnsi="宋体" w:eastAsia="宋体" w:cs="宋体"/>
                <w:sz w:val="18"/>
                <w:szCs w:val="18"/>
              </w:rPr>
            </w:pPr>
          </w:p>
        </w:tc>
      </w:tr>
      <w:tr w14:paraId="74053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66" w:type="pct"/>
            <w:shd w:val="clear" w:color="auto" w:fill="D3D3D3"/>
            <w:vAlign w:val="center"/>
          </w:tcPr>
          <w:p w14:paraId="0B152929">
            <w:pPr>
              <w:spacing w:before="0" w:after="0" w:line="240" w:lineRule="exact"/>
              <w:ind w:firstLine="900" w:firstLineChars="500"/>
              <w:jc w:val="left"/>
              <w:rPr>
                <w:rFonts w:ascii="宋体" w:hAnsi="宋体" w:eastAsia="宋体" w:cs="宋体"/>
                <w:sz w:val="18"/>
                <w:szCs w:val="18"/>
              </w:rPr>
            </w:pPr>
            <w:r>
              <w:rPr>
                <w:rFonts w:ascii="宋体" w:hAnsi="宋体" w:eastAsia="宋体" w:cs="宋体"/>
                <w:sz w:val="18"/>
                <w:szCs w:val="18"/>
              </w:rPr>
              <w:t>永续债</w:t>
            </w:r>
          </w:p>
        </w:tc>
        <w:tc>
          <w:tcPr>
            <w:tcW w:w="1666" w:type="pct"/>
            <w:vAlign w:val="center"/>
          </w:tcPr>
          <w:p w14:paraId="5AEB6A71">
            <w:pPr>
              <w:spacing w:before="0" w:after="0" w:line="240" w:lineRule="exact"/>
              <w:jc w:val="right"/>
              <w:rPr>
                <w:rFonts w:ascii="宋体" w:hAnsi="宋体" w:eastAsia="宋体" w:cs="宋体"/>
                <w:sz w:val="18"/>
                <w:szCs w:val="18"/>
              </w:rPr>
            </w:pPr>
          </w:p>
        </w:tc>
        <w:tc>
          <w:tcPr>
            <w:tcW w:w="1666" w:type="pct"/>
            <w:vAlign w:val="center"/>
          </w:tcPr>
          <w:p w14:paraId="33993879">
            <w:pPr>
              <w:spacing w:before="0" w:after="0" w:line="240" w:lineRule="exact"/>
              <w:jc w:val="right"/>
              <w:rPr>
                <w:rFonts w:ascii="宋体" w:hAnsi="宋体" w:eastAsia="宋体" w:cs="宋体"/>
                <w:sz w:val="18"/>
                <w:szCs w:val="18"/>
              </w:rPr>
            </w:pPr>
          </w:p>
        </w:tc>
      </w:tr>
      <w:tr w14:paraId="056D2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66" w:type="pct"/>
            <w:shd w:val="clear" w:color="auto" w:fill="D3D3D3"/>
            <w:vAlign w:val="center"/>
          </w:tcPr>
          <w:p w14:paraId="5A383855">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资本公积</w:t>
            </w:r>
          </w:p>
        </w:tc>
        <w:tc>
          <w:tcPr>
            <w:tcW w:w="1666" w:type="pct"/>
            <w:vAlign w:val="center"/>
          </w:tcPr>
          <w:p w14:paraId="5F285517">
            <w:pPr>
              <w:spacing w:before="0" w:after="0" w:line="240" w:lineRule="exact"/>
              <w:jc w:val="right"/>
              <w:rPr>
                <w:rFonts w:ascii="宋体" w:hAnsi="宋体" w:eastAsia="宋体" w:cs="宋体"/>
                <w:sz w:val="18"/>
                <w:szCs w:val="18"/>
              </w:rPr>
            </w:pPr>
            <w:r>
              <w:rPr>
                <w:rFonts w:ascii="宋体" w:hAnsi="宋体" w:eastAsia="宋体" w:cs="宋体"/>
                <w:sz w:val="18"/>
                <w:szCs w:val="18"/>
              </w:rPr>
              <w:t>262,967,841.64</w:t>
            </w:r>
          </w:p>
        </w:tc>
        <w:tc>
          <w:tcPr>
            <w:tcW w:w="1666" w:type="pct"/>
            <w:vAlign w:val="center"/>
          </w:tcPr>
          <w:p w14:paraId="70221F2C">
            <w:pPr>
              <w:spacing w:before="0" w:after="0" w:line="240" w:lineRule="exact"/>
              <w:jc w:val="right"/>
              <w:rPr>
                <w:rFonts w:ascii="宋体" w:hAnsi="宋体" w:eastAsia="宋体" w:cs="宋体"/>
                <w:sz w:val="18"/>
                <w:szCs w:val="18"/>
              </w:rPr>
            </w:pPr>
            <w:r>
              <w:rPr>
                <w:rFonts w:ascii="宋体" w:hAnsi="宋体" w:eastAsia="宋体" w:cs="宋体"/>
                <w:sz w:val="18"/>
                <w:szCs w:val="18"/>
              </w:rPr>
              <w:t>262,967,841.64</w:t>
            </w:r>
          </w:p>
        </w:tc>
      </w:tr>
      <w:tr w14:paraId="2014E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66" w:type="pct"/>
            <w:shd w:val="clear" w:color="auto" w:fill="D3D3D3"/>
            <w:vAlign w:val="center"/>
          </w:tcPr>
          <w:p w14:paraId="6EF4A06E">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减：库存股</w:t>
            </w:r>
          </w:p>
        </w:tc>
        <w:tc>
          <w:tcPr>
            <w:tcW w:w="1666" w:type="pct"/>
            <w:vAlign w:val="center"/>
          </w:tcPr>
          <w:p w14:paraId="40C64983">
            <w:pPr>
              <w:spacing w:before="0" w:after="0" w:line="240" w:lineRule="exact"/>
              <w:jc w:val="right"/>
              <w:rPr>
                <w:rFonts w:ascii="宋体" w:hAnsi="宋体" w:eastAsia="宋体" w:cs="宋体"/>
                <w:sz w:val="18"/>
                <w:szCs w:val="18"/>
              </w:rPr>
            </w:pPr>
          </w:p>
        </w:tc>
        <w:tc>
          <w:tcPr>
            <w:tcW w:w="1666" w:type="pct"/>
            <w:vAlign w:val="center"/>
          </w:tcPr>
          <w:p w14:paraId="25252381">
            <w:pPr>
              <w:spacing w:before="0" w:after="0" w:line="240" w:lineRule="exact"/>
              <w:jc w:val="right"/>
              <w:rPr>
                <w:rFonts w:ascii="宋体" w:hAnsi="宋体" w:eastAsia="宋体" w:cs="宋体"/>
                <w:sz w:val="18"/>
                <w:szCs w:val="18"/>
              </w:rPr>
            </w:pPr>
          </w:p>
        </w:tc>
      </w:tr>
      <w:tr w14:paraId="0B581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66" w:type="pct"/>
            <w:shd w:val="clear" w:color="auto" w:fill="D3D3D3"/>
            <w:vAlign w:val="center"/>
          </w:tcPr>
          <w:p w14:paraId="089AF806">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其他综合收益</w:t>
            </w:r>
          </w:p>
        </w:tc>
        <w:tc>
          <w:tcPr>
            <w:tcW w:w="1666" w:type="pct"/>
            <w:vAlign w:val="center"/>
          </w:tcPr>
          <w:p w14:paraId="51274FAE">
            <w:pPr>
              <w:spacing w:before="0" w:after="0" w:line="240" w:lineRule="exact"/>
              <w:jc w:val="right"/>
              <w:rPr>
                <w:rFonts w:ascii="宋体" w:hAnsi="宋体" w:eastAsia="宋体" w:cs="宋体"/>
                <w:sz w:val="18"/>
                <w:szCs w:val="18"/>
              </w:rPr>
            </w:pPr>
          </w:p>
        </w:tc>
        <w:tc>
          <w:tcPr>
            <w:tcW w:w="1666" w:type="pct"/>
            <w:vAlign w:val="center"/>
          </w:tcPr>
          <w:p w14:paraId="6CD6F97E">
            <w:pPr>
              <w:spacing w:before="0" w:after="0" w:line="240" w:lineRule="exact"/>
              <w:jc w:val="right"/>
              <w:rPr>
                <w:rFonts w:ascii="宋体" w:hAnsi="宋体" w:eastAsia="宋体" w:cs="宋体"/>
                <w:sz w:val="18"/>
                <w:szCs w:val="18"/>
              </w:rPr>
            </w:pPr>
          </w:p>
        </w:tc>
      </w:tr>
      <w:tr w14:paraId="5D9B1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66" w:type="pct"/>
            <w:shd w:val="clear" w:color="auto" w:fill="D3D3D3"/>
            <w:vAlign w:val="center"/>
          </w:tcPr>
          <w:p w14:paraId="0E670D88">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专项储备</w:t>
            </w:r>
          </w:p>
        </w:tc>
        <w:tc>
          <w:tcPr>
            <w:tcW w:w="1666" w:type="pct"/>
            <w:vAlign w:val="center"/>
          </w:tcPr>
          <w:p w14:paraId="1A401BF2">
            <w:pPr>
              <w:spacing w:before="0" w:after="0" w:line="240" w:lineRule="exact"/>
              <w:jc w:val="right"/>
              <w:rPr>
                <w:rFonts w:ascii="宋体" w:hAnsi="宋体" w:eastAsia="宋体" w:cs="宋体"/>
                <w:sz w:val="18"/>
                <w:szCs w:val="18"/>
              </w:rPr>
            </w:pPr>
            <w:r>
              <w:rPr>
                <w:rFonts w:ascii="宋体" w:hAnsi="宋体" w:eastAsia="宋体" w:cs="宋体"/>
                <w:sz w:val="18"/>
                <w:szCs w:val="18"/>
              </w:rPr>
              <w:t>1,179,057.68</w:t>
            </w:r>
          </w:p>
        </w:tc>
        <w:tc>
          <w:tcPr>
            <w:tcW w:w="1666" w:type="pct"/>
            <w:vAlign w:val="center"/>
          </w:tcPr>
          <w:p w14:paraId="01AC9F4D">
            <w:pPr>
              <w:spacing w:before="0" w:after="0" w:line="240" w:lineRule="exact"/>
              <w:jc w:val="right"/>
              <w:rPr>
                <w:rFonts w:ascii="宋体" w:hAnsi="宋体" w:eastAsia="宋体" w:cs="宋体"/>
                <w:sz w:val="18"/>
                <w:szCs w:val="18"/>
              </w:rPr>
            </w:pPr>
            <w:r>
              <w:rPr>
                <w:rFonts w:ascii="宋体" w:hAnsi="宋体" w:eastAsia="宋体" w:cs="宋体"/>
                <w:sz w:val="18"/>
                <w:szCs w:val="18"/>
              </w:rPr>
              <w:t>781,931.64</w:t>
            </w:r>
          </w:p>
        </w:tc>
      </w:tr>
      <w:tr w14:paraId="6207F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66" w:type="pct"/>
            <w:shd w:val="clear" w:color="auto" w:fill="D3D3D3"/>
            <w:vAlign w:val="center"/>
          </w:tcPr>
          <w:p w14:paraId="261C96B9">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盈余公积</w:t>
            </w:r>
          </w:p>
        </w:tc>
        <w:tc>
          <w:tcPr>
            <w:tcW w:w="1666" w:type="pct"/>
            <w:vAlign w:val="center"/>
          </w:tcPr>
          <w:p w14:paraId="62920A96">
            <w:pPr>
              <w:spacing w:before="0" w:after="0" w:line="240" w:lineRule="exact"/>
              <w:jc w:val="right"/>
              <w:rPr>
                <w:rFonts w:ascii="宋体" w:hAnsi="宋体" w:eastAsia="宋体" w:cs="宋体"/>
                <w:sz w:val="18"/>
                <w:szCs w:val="18"/>
              </w:rPr>
            </w:pPr>
            <w:r>
              <w:rPr>
                <w:rFonts w:ascii="宋体" w:hAnsi="宋体" w:eastAsia="宋体" w:cs="宋体"/>
                <w:sz w:val="18"/>
                <w:szCs w:val="18"/>
              </w:rPr>
              <w:t>62,609,793.07</w:t>
            </w:r>
          </w:p>
        </w:tc>
        <w:tc>
          <w:tcPr>
            <w:tcW w:w="1666" w:type="pct"/>
            <w:vAlign w:val="center"/>
          </w:tcPr>
          <w:p w14:paraId="1EE529D3">
            <w:pPr>
              <w:spacing w:before="0" w:after="0" w:line="240" w:lineRule="exact"/>
              <w:jc w:val="right"/>
              <w:rPr>
                <w:rFonts w:ascii="宋体" w:hAnsi="宋体" w:eastAsia="宋体" w:cs="宋体"/>
                <w:sz w:val="18"/>
                <w:szCs w:val="18"/>
              </w:rPr>
            </w:pPr>
            <w:r>
              <w:rPr>
                <w:rFonts w:ascii="宋体" w:hAnsi="宋体" w:eastAsia="宋体" w:cs="宋体"/>
                <w:sz w:val="18"/>
                <w:szCs w:val="18"/>
              </w:rPr>
              <w:t>62,609,793.07</w:t>
            </w:r>
          </w:p>
        </w:tc>
      </w:tr>
      <w:tr w14:paraId="5F985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66" w:type="pct"/>
            <w:shd w:val="clear" w:color="auto" w:fill="D3D3D3"/>
            <w:vAlign w:val="center"/>
          </w:tcPr>
          <w:p w14:paraId="7D7DB04B">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一般风险准备</w:t>
            </w:r>
          </w:p>
        </w:tc>
        <w:tc>
          <w:tcPr>
            <w:tcW w:w="1666" w:type="pct"/>
            <w:vAlign w:val="center"/>
          </w:tcPr>
          <w:p w14:paraId="628EAED0">
            <w:pPr>
              <w:spacing w:before="0" w:after="0" w:line="240" w:lineRule="exact"/>
              <w:jc w:val="right"/>
              <w:rPr>
                <w:rFonts w:ascii="宋体" w:hAnsi="宋体" w:eastAsia="宋体" w:cs="宋体"/>
                <w:sz w:val="18"/>
                <w:szCs w:val="18"/>
              </w:rPr>
            </w:pPr>
          </w:p>
        </w:tc>
        <w:tc>
          <w:tcPr>
            <w:tcW w:w="1666" w:type="pct"/>
            <w:vAlign w:val="center"/>
          </w:tcPr>
          <w:p w14:paraId="7543155E">
            <w:pPr>
              <w:spacing w:before="0" w:after="0" w:line="240" w:lineRule="exact"/>
              <w:jc w:val="right"/>
              <w:rPr>
                <w:rFonts w:ascii="宋体" w:hAnsi="宋体" w:eastAsia="宋体" w:cs="宋体"/>
                <w:sz w:val="18"/>
                <w:szCs w:val="18"/>
              </w:rPr>
            </w:pPr>
          </w:p>
        </w:tc>
      </w:tr>
      <w:tr w14:paraId="4D27E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66" w:type="pct"/>
            <w:shd w:val="clear" w:color="auto" w:fill="D3D3D3"/>
            <w:vAlign w:val="center"/>
          </w:tcPr>
          <w:p w14:paraId="5748E3FC">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未分配利润</w:t>
            </w:r>
          </w:p>
        </w:tc>
        <w:tc>
          <w:tcPr>
            <w:tcW w:w="1666" w:type="pct"/>
            <w:vAlign w:val="center"/>
          </w:tcPr>
          <w:p w14:paraId="0226DFC4">
            <w:pPr>
              <w:spacing w:before="0" w:after="0" w:line="240" w:lineRule="exact"/>
              <w:jc w:val="right"/>
              <w:rPr>
                <w:rFonts w:ascii="宋体" w:hAnsi="宋体" w:eastAsia="宋体" w:cs="宋体"/>
                <w:sz w:val="18"/>
                <w:szCs w:val="18"/>
              </w:rPr>
            </w:pPr>
            <w:r>
              <w:rPr>
                <w:rFonts w:ascii="宋体" w:hAnsi="宋体" w:eastAsia="宋体" w:cs="宋体"/>
                <w:sz w:val="18"/>
                <w:szCs w:val="18"/>
              </w:rPr>
              <w:t>535,710,247.79</w:t>
            </w:r>
          </w:p>
        </w:tc>
        <w:tc>
          <w:tcPr>
            <w:tcW w:w="1666" w:type="pct"/>
            <w:vAlign w:val="center"/>
          </w:tcPr>
          <w:p w14:paraId="49C7DA90">
            <w:pPr>
              <w:spacing w:before="0" w:after="0" w:line="240" w:lineRule="exact"/>
              <w:jc w:val="right"/>
              <w:rPr>
                <w:rFonts w:ascii="宋体" w:hAnsi="宋体" w:eastAsia="宋体" w:cs="宋体"/>
                <w:sz w:val="18"/>
                <w:szCs w:val="18"/>
              </w:rPr>
            </w:pPr>
            <w:r>
              <w:rPr>
                <w:rFonts w:ascii="宋体" w:hAnsi="宋体" w:eastAsia="宋体" w:cs="宋体"/>
                <w:sz w:val="18"/>
                <w:szCs w:val="18"/>
              </w:rPr>
              <w:t>505,966,893.49</w:t>
            </w:r>
          </w:p>
        </w:tc>
      </w:tr>
      <w:tr w14:paraId="721EE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66" w:type="pct"/>
            <w:shd w:val="clear" w:color="auto" w:fill="D3D3D3"/>
            <w:vAlign w:val="center"/>
          </w:tcPr>
          <w:p w14:paraId="02D8CF9A">
            <w:pPr>
              <w:spacing w:before="0" w:after="0" w:line="240" w:lineRule="exact"/>
              <w:jc w:val="left"/>
              <w:rPr>
                <w:rFonts w:ascii="宋体" w:hAnsi="宋体" w:eastAsia="宋体" w:cs="宋体"/>
                <w:sz w:val="18"/>
                <w:szCs w:val="18"/>
              </w:rPr>
            </w:pPr>
            <w:r>
              <w:rPr>
                <w:rFonts w:ascii="宋体" w:hAnsi="宋体" w:eastAsia="宋体" w:cs="宋体"/>
                <w:sz w:val="18"/>
                <w:szCs w:val="18"/>
              </w:rPr>
              <w:t>归属于母公司所有者权益合计</w:t>
            </w:r>
          </w:p>
        </w:tc>
        <w:tc>
          <w:tcPr>
            <w:tcW w:w="1666" w:type="pct"/>
            <w:vAlign w:val="center"/>
          </w:tcPr>
          <w:p w14:paraId="745D810E">
            <w:pPr>
              <w:spacing w:before="0" w:after="0" w:line="240" w:lineRule="exact"/>
              <w:jc w:val="right"/>
              <w:rPr>
                <w:rFonts w:ascii="宋体" w:hAnsi="宋体" w:eastAsia="宋体" w:cs="宋体"/>
                <w:sz w:val="18"/>
                <w:szCs w:val="18"/>
              </w:rPr>
            </w:pPr>
            <w:r>
              <w:rPr>
                <w:rFonts w:ascii="宋体" w:hAnsi="宋体" w:eastAsia="宋体" w:cs="宋体"/>
                <w:sz w:val="18"/>
                <w:szCs w:val="18"/>
              </w:rPr>
              <w:t>1,057,450,690.18</w:t>
            </w:r>
          </w:p>
        </w:tc>
        <w:tc>
          <w:tcPr>
            <w:tcW w:w="1666" w:type="pct"/>
            <w:vAlign w:val="center"/>
          </w:tcPr>
          <w:p w14:paraId="2DBB62DD">
            <w:pPr>
              <w:spacing w:before="0" w:after="0" w:line="240" w:lineRule="exact"/>
              <w:jc w:val="right"/>
              <w:rPr>
                <w:rFonts w:ascii="宋体" w:hAnsi="宋体" w:eastAsia="宋体" w:cs="宋体"/>
                <w:sz w:val="18"/>
                <w:szCs w:val="18"/>
              </w:rPr>
            </w:pPr>
            <w:r>
              <w:rPr>
                <w:rFonts w:ascii="宋体" w:hAnsi="宋体" w:eastAsia="宋体" w:cs="宋体"/>
                <w:sz w:val="18"/>
                <w:szCs w:val="18"/>
              </w:rPr>
              <w:t>1,027,310,209.84</w:t>
            </w:r>
          </w:p>
        </w:tc>
      </w:tr>
      <w:tr w14:paraId="0ED7D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66" w:type="pct"/>
            <w:shd w:val="clear" w:color="auto" w:fill="D3D3D3"/>
            <w:vAlign w:val="center"/>
          </w:tcPr>
          <w:p w14:paraId="5C04159C">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少数股东权益</w:t>
            </w:r>
          </w:p>
        </w:tc>
        <w:tc>
          <w:tcPr>
            <w:tcW w:w="1666" w:type="pct"/>
            <w:vAlign w:val="center"/>
          </w:tcPr>
          <w:p w14:paraId="0F9082E2">
            <w:pPr>
              <w:spacing w:before="0" w:after="0" w:line="240" w:lineRule="exact"/>
              <w:jc w:val="right"/>
              <w:rPr>
                <w:rFonts w:ascii="宋体" w:hAnsi="宋体" w:eastAsia="宋体" w:cs="宋体"/>
                <w:sz w:val="18"/>
                <w:szCs w:val="18"/>
              </w:rPr>
            </w:pPr>
          </w:p>
        </w:tc>
        <w:tc>
          <w:tcPr>
            <w:tcW w:w="1666" w:type="pct"/>
            <w:vAlign w:val="center"/>
          </w:tcPr>
          <w:p w14:paraId="34AD26D8">
            <w:pPr>
              <w:spacing w:before="0" w:after="0" w:line="240" w:lineRule="exact"/>
              <w:jc w:val="right"/>
              <w:rPr>
                <w:rFonts w:ascii="宋体" w:hAnsi="宋体" w:eastAsia="宋体" w:cs="宋体"/>
                <w:sz w:val="18"/>
                <w:szCs w:val="18"/>
              </w:rPr>
            </w:pPr>
          </w:p>
        </w:tc>
      </w:tr>
      <w:tr w14:paraId="36849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66" w:type="pct"/>
            <w:shd w:val="clear" w:color="auto" w:fill="D3D3D3"/>
            <w:vAlign w:val="center"/>
          </w:tcPr>
          <w:p w14:paraId="66D066F5">
            <w:pPr>
              <w:spacing w:before="0" w:after="0" w:line="240" w:lineRule="exact"/>
              <w:jc w:val="left"/>
              <w:rPr>
                <w:rFonts w:ascii="宋体" w:hAnsi="宋体" w:eastAsia="宋体" w:cs="宋体"/>
                <w:sz w:val="18"/>
                <w:szCs w:val="18"/>
              </w:rPr>
            </w:pPr>
            <w:r>
              <w:rPr>
                <w:rFonts w:ascii="宋体" w:hAnsi="宋体" w:eastAsia="宋体" w:cs="宋体"/>
                <w:sz w:val="18"/>
                <w:szCs w:val="18"/>
              </w:rPr>
              <w:t>所有者权益合计</w:t>
            </w:r>
          </w:p>
        </w:tc>
        <w:tc>
          <w:tcPr>
            <w:tcW w:w="1666" w:type="pct"/>
            <w:vAlign w:val="center"/>
          </w:tcPr>
          <w:p w14:paraId="351140A8">
            <w:pPr>
              <w:spacing w:before="0" w:after="0" w:line="240" w:lineRule="exact"/>
              <w:jc w:val="right"/>
              <w:rPr>
                <w:rFonts w:ascii="宋体" w:hAnsi="宋体" w:eastAsia="宋体" w:cs="宋体"/>
                <w:sz w:val="18"/>
                <w:szCs w:val="18"/>
              </w:rPr>
            </w:pPr>
            <w:r>
              <w:rPr>
                <w:rFonts w:ascii="宋体" w:hAnsi="宋体" w:eastAsia="宋体" w:cs="宋体"/>
                <w:sz w:val="18"/>
                <w:szCs w:val="18"/>
              </w:rPr>
              <w:t>1,057,450,690.18</w:t>
            </w:r>
          </w:p>
        </w:tc>
        <w:tc>
          <w:tcPr>
            <w:tcW w:w="1666" w:type="pct"/>
            <w:vAlign w:val="center"/>
          </w:tcPr>
          <w:p w14:paraId="0B524566">
            <w:pPr>
              <w:spacing w:before="0" w:after="0" w:line="240" w:lineRule="exact"/>
              <w:jc w:val="right"/>
              <w:rPr>
                <w:rFonts w:ascii="宋体" w:hAnsi="宋体" w:eastAsia="宋体" w:cs="宋体"/>
                <w:sz w:val="18"/>
                <w:szCs w:val="18"/>
              </w:rPr>
            </w:pPr>
            <w:r>
              <w:rPr>
                <w:rFonts w:ascii="宋体" w:hAnsi="宋体" w:eastAsia="宋体" w:cs="宋体"/>
                <w:sz w:val="18"/>
                <w:szCs w:val="18"/>
              </w:rPr>
              <w:t>1,027,310,209.84</w:t>
            </w:r>
          </w:p>
        </w:tc>
      </w:tr>
      <w:tr w14:paraId="543C4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666" w:type="pct"/>
            <w:shd w:val="clear" w:color="auto" w:fill="D3D3D3"/>
            <w:vAlign w:val="center"/>
          </w:tcPr>
          <w:p w14:paraId="48A2D0C3">
            <w:pPr>
              <w:spacing w:before="0" w:after="0" w:line="240" w:lineRule="exact"/>
              <w:jc w:val="left"/>
              <w:rPr>
                <w:rFonts w:ascii="宋体" w:hAnsi="宋体" w:eastAsia="宋体" w:cs="宋体"/>
                <w:sz w:val="18"/>
                <w:szCs w:val="18"/>
              </w:rPr>
            </w:pPr>
            <w:r>
              <w:rPr>
                <w:rFonts w:ascii="宋体" w:hAnsi="宋体" w:eastAsia="宋体" w:cs="宋体"/>
                <w:sz w:val="18"/>
                <w:szCs w:val="18"/>
              </w:rPr>
              <w:t>负债和所有者权益总计</w:t>
            </w:r>
          </w:p>
        </w:tc>
        <w:tc>
          <w:tcPr>
            <w:tcW w:w="1666" w:type="pct"/>
            <w:vAlign w:val="center"/>
          </w:tcPr>
          <w:p w14:paraId="24ECF936">
            <w:pPr>
              <w:spacing w:before="0" w:after="0" w:line="240" w:lineRule="exact"/>
              <w:jc w:val="right"/>
              <w:rPr>
                <w:rFonts w:ascii="宋体" w:hAnsi="宋体" w:eastAsia="宋体" w:cs="宋体"/>
                <w:sz w:val="18"/>
                <w:szCs w:val="18"/>
              </w:rPr>
            </w:pPr>
            <w:r>
              <w:rPr>
                <w:rFonts w:ascii="宋体" w:hAnsi="宋体" w:eastAsia="宋体" w:cs="宋体"/>
                <w:sz w:val="18"/>
                <w:szCs w:val="18"/>
              </w:rPr>
              <w:t>1,141,620,212.53</w:t>
            </w:r>
          </w:p>
        </w:tc>
        <w:tc>
          <w:tcPr>
            <w:tcW w:w="1666" w:type="pct"/>
            <w:vAlign w:val="center"/>
          </w:tcPr>
          <w:p w14:paraId="02BE3B25">
            <w:pPr>
              <w:spacing w:before="0" w:after="0" w:line="240" w:lineRule="exact"/>
              <w:jc w:val="right"/>
              <w:rPr>
                <w:rFonts w:ascii="宋体" w:hAnsi="宋体" w:eastAsia="宋体" w:cs="宋体"/>
                <w:sz w:val="18"/>
                <w:szCs w:val="18"/>
              </w:rPr>
            </w:pPr>
            <w:r>
              <w:rPr>
                <w:rFonts w:ascii="宋体" w:hAnsi="宋体" w:eastAsia="宋体" w:cs="宋体"/>
                <w:sz w:val="18"/>
                <w:szCs w:val="18"/>
              </w:rPr>
              <w:t>1,153,157,818.30</w:t>
            </w:r>
          </w:p>
        </w:tc>
      </w:tr>
    </w:tbl>
    <w:p w14:paraId="684E6CAF">
      <w:pPr>
        <w:spacing w:before="0" w:after="0" w:line="240" w:lineRule="exact"/>
        <w:jc w:val="center"/>
        <w:rPr>
          <w:rFonts w:ascii="宋体" w:hAnsi="宋体" w:eastAsia="宋体" w:cs="宋体"/>
          <w:sz w:val="18"/>
          <w:szCs w:val="18"/>
        </w:rPr>
      </w:pPr>
      <w:r>
        <w:rPr>
          <w:rFonts w:ascii="宋体" w:hAnsi="宋体" w:eastAsia="宋体" w:cs="宋体"/>
          <w:sz w:val="18"/>
          <w:szCs w:val="18"/>
        </w:rPr>
        <w:t>法定代表人：苏青林                  主管会计工作负责人：程相伟                  会计机构负责人：程相伟</w:t>
      </w:r>
    </w:p>
    <w:p w14:paraId="3CDF7EF1">
      <w:pPr>
        <w:spacing w:before="0" w:after="0" w:line="240" w:lineRule="exact"/>
        <w:jc w:val="center"/>
        <w:rPr>
          <w:rFonts w:ascii="宋体" w:hAnsi="宋体" w:eastAsia="宋体" w:cs="宋体"/>
          <w:sz w:val="18"/>
          <w:szCs w:val="18"/>
        </w:rPr>
      </w:pPr>
    </w:p>
    <w:p w14:paraId="31611215">
      <w:pPr>
        <w:spacing w:before="0" w:after="0" w:line="240" w:lineRule="exact"/>
        <w:jc w:val="center"/>
        <w:rPr>
          <w:rFonts w:ascii="宋体" w:hAnsi="宋体" w:eastAsia="宋体" w:cs="宋体"/>
          <w:sz w:val="18"/>
          <w:szCs w:val="18"/>
        </w:rPr>
      </w:pPr>
    </w:p>
    <w:p w14:paraId="6C2D4980">
      <w:pPr>
        <w:spacing w:before="0" w:after="0" w:line="240" w:lineRule="exact"/>
        <w:jc w:val="center"/>
        <w:rPr>
          <w:rFonts w:ascii="宋体" w:hAnsi="宋体" w:eastAsia="宋体" w:cs="宋体"/>
          <w:sz w:val="18"/>
          <w:szCs w:val="18"/>
        </w:rPr>
      </w:pPr>
    </w:p>
    <w:p w14:paraId="7DC1E069">
      <w:pPr>
        <w:spacing w:before="0" w:after="0" w:line="240" w:lineRule="exact"/>
        <w:jc w:val="center"/>
        <w:rPr>
          <w:rFonts w:ascii="宋体" w:hAnsi="宋体" w:eastAsia="宋体" w:cs="宋体"/>
          <w:sz w:val="18"/>
          <w:szCs w:val="18"/>
        </w:rPr>
      </w:pPr>
    </w:p>
    <w:p w14:paraId="77A73F90">
      <w:pPr>
        <w:keepNext/>
        <w:keepLines/>
        <w:spacing w:before="300" w:after="300" w:line="280" w:lineRule="exact"/>
        <w:jc w:val="left"/>
        <w:outlineLvl w:val="2"/>
        <w:rPr>
          <w:rFonts w:ascii="宋体" w:hAnsi="宋体" w:eastAsia="宋体" w:cs="宋体"/>
          <w:b/>
          <w:bCs/>
          <w:sz w:val="21"/>
          <w:szCs w:val="21"/>
        </w:rPr>
      </w:pPr>
      <w:bookmarkStart w:id="11" w:name="_Toc988900"/>
      <w:r>
        <w:rPr>
          <w:rFonts w:ascii="宋体" w:hAnsi="宋体" w:eastAsia="宋体" w:cs="宋体"/>
          <w:b/>
          <w:bCs/>
          <w:sz w:val="21"/>
          <w:szCs w:val="21"/>
        </w:rPr>
        <w:t>2、合并利润表</w:t>
      </w:r>
      <w:bookmarkEnd w:id="11"/>
    </w:p>
    <w:p w14:paraId="6A5AB26B">
      <w:pPr>
        <w:spacing w:before="40" w:after="4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84"/>
        <w:gridCol w:w="2432"/>
        <w:gridCol w:w="2127"/>
      </w:tblGrid>
      <w:tr w14:paraId="35151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683" w:type="pct"/>
            <w:shd w:val="clear" w:color="auto" w:fill="D3D3D3"/>
            <w:vAlign w:val="center"/>
          </w:tcPr>
          <w:p w14:paraId="12B42D54">
            <w:pPr>
              <w:spacing w:before="0" w:after="0" w:line="240" w:lineRule="exact"/>
              <w:jc w:val="center"/>
              <w:rPr>
                <w:rFonts w:ascii="宋体" w:hAnsi="宋体" w:eastAsia="宋体" w:cs="宋体"/>
                <w:sz w:val="18"/>
                <w:szCs w:val="18"/>
              </w:rPr>
            </w:pPr>
            <w:r>
              <w:rPr>
                <w:rFonts w:ascii="宋体" w:hAnsi="宋体" w:eastAsia="宋体" w:cs="宋体"/>
                <w:sz w:val="18"/>
                <w:szCs w:val="18"/>
              </w:rPr>
              <w:t>项目</w:t>
            </w:r>
          </w:p>
        </w:tc>
        <w:tc>
          <w:tcPr>
            <w:tcW w:w="1235" w:type="pct"/>
            <w:shd w:val="clear" w:color="auto" w:fill="D3D3D3"/>
            <w:vAlign w:val="center"/>
          </w:tcPr>
          <w:p w14:paraId="605B2B36">
            <w:pPr>
              <w:spacing w:before="0" w:after="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1080" w:type="pct"/>
            <w:shd w:val="clear" w:color="auto" w:fill="D3D3D3"/>
            <w:vAlign w:val="center"/>
          </w:tcPr>
          <w:p w14:paraId="21E018BE">
            <w:pPr>
              <w:spacing w:before="0" w:after="0" w:line="240" w:lineRule="exact"/>
              <w:jc w:val="center"/>
              <w:rPr>
                <w:rFonts w:ascii="宋体" w:hAnsi="宋体" w:eastAsia="宋体" w:cs="宋体"/>
                <w:sz w:val="18"/>
                <w:szCs w:val="18"/>
              </w:rPr>
            </w:pPr>
            <w:r>
              <w:rPr>
                <w:rFonts w:ascii="宋体" w:hAnsi="宋体" w:eastAsia="宋体" w:cs="宋体"/>
                <w:sz w:val="18"/>
                <w:szCs w:val="18"/>
              </w:rPr>
              <w:t>上期发生额</w:t>
            </w:r>
          </w:p>
        </w:tc>
      </w:tr>
      <w:tr w14:paraId="7DFF6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683" w:type="pct"/>
            <w:shd w:val="clear" w:color="auto" w:fill="D3D3D3"/>
            <w:vAlign w:val="center"/>
          </w:tcPr>
          <w:p w14:paraId="40800810">
            <w:pPr>
              <w:spacing w:before="0" w:after="0" w:line="240" w:lineRule="exact"/>
              <w:jc w:val="left"/>
              <w:rPr>
                <w:rFonts w:ascii="宋体" w:hAnsi="宋体" w:eastAsia="宋体" w:cs="宋体"/>
                <w:sz w:val="18"/>
                <w:szCs w:val="18"/>
              </w:rPr>
            </w:pPr>
            <w:r>
              <w:rPr>
                <w:rFonts w:ascii="宋体" w:hAnsi="宋体" w:eastAsia="宋体" w:cs="宋体"/>
                <w:sz w:val="18"/>
                <w:szCs w:val="18"/>
              </w:rPr>
              <w:t>一、营业总收入</w:t>
            </w:r>
          </w:p>
        </w:tc>
        <w:tc>
          <w:tcPr>
            <w:tcW w:w="1235" w:type="pct"/>
            <w:vAlign w:val="center"/>
          </w:tcPr>
          <w:p w14:paraId="51AF6475">
            <w:pPr>
              <w:spacing w:before="0" w:after="0" w:line="240" w:lineRule="exact"/>
              <w:jc w:val="right"/>
              <w:rPr>
                <w:rFonts w:ascii="宋体" w:hAnsi="宋体" w:eastAsia="宋体" w:cs="宋体"/>
                <w:sz w:val="18"/>
                <w:szCs w:val="18"/>
              </w:rPr>
            </w:pPr>
            <w:r>
              <w:rPr>
                <w:rFonts w:ascii="宋体" w:hAnsi="宋体" w:eastAsia="宋体" w:cs="宋体"/>
                <w:sz w:val="18"/>
                <w:szCs w:val="18"/>
              </w:rPr>
              <w:t>134,818,291.90</w:t>
            </w:r>
          </w:p>
        </w:tc>
        <w:tc>
          <w:tcPr>
            <w:tcW w:w="1080" w:type="pct"/>
            <w:vAlign w:val="center"/>
          </w:tcPr>
          <w:p w14:paraId="296614F3">
            <w:pPr>
              <w:spacing w:before="0" w:after="0" w:line="240" w:lineRule="exact"/>
              <w:jc w:val="right"/>
              <w:rPr>
                <w:rFonts w:ascii="宋体" w:hAnsi="宋体" w:eastAsia="宋体" w:cs="宋体"/>
                <w:sz w:val="18"/>
                <w:szCs w:val="18"/>
              </w:rPr>
            </w:pPr>
            <w:r>
              <w:rPr>
                <w:rFonts w:ascii="宋体" w:hAnsi="宋体" w:eastAsia="宋体" w:cs="宋体"/>
                <w:sz w:val="18"/>
                <w:szCs w:val="18"/>
              </w:rPr>
              <w:t>131,932,438.14</w:t>
            </w:r>
          </w:p>
        </w:tc>
      </w:tr>
      <w:tr w14:paraId="310F0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683" w:type="pct"/>
            <w:shd w:val="clear" w:color="auto" w:fill="D3D3D3"/>
            <w:vAlign w:val="center"/>
          </w:tcPr>
          <w:p w14:paraId="01A00EC2">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其中：营业收入</w:t>
            </w:r>
          </w:p>
        </w:tc>
        <w:tc>
          <w:tcPr>
            <w:tcW w:w="1235" w:type="pct"/>
            <w:vAlign w:val="center"/>
          </w:tcPr>
          <w:p w14:paraId="34D0A946">
            <w:pPr>
              <w:spacing w:before="0" w:after="0" w:line="240" w:lineRule="exact"/>
              <w:jc w:val="right"/>
              <w:rPr>
                <w:rFonts w:ascii="宋体" w:hAnsi="宋体" w:eastAsia="宋体" w:cs="宋体"/>
                <w:sz w:val="18"/>
                <w:szCs w:val="18"/>
              </w:rPr>
            </w:pPr>
            <w:r>
              <w:rPr>
                <w:rFonts w:ascii="宋体" w:hAnsi="宋体" w:eastAsia="宋体" w:cs="宋体"/>
                <w:sz w:val="18"/>
                <w:szCs w:val="18"/>
              </w:rPr>
              <w:t>134,818,291.90</w:t>
            </w:r>
          </w:p>
        </w:tc>
        <w:tc>
          <w:tcPr>
            <w:tcW w:w="1080" w:type="pct"/>
            <w:vAlign w:val="center"/>
          </w:tcPr>
          <w:p w14:paraId="6A468121">
            <w:pPr>
              <w:spacing w:before="0" w:after="0" w:line="240" w:lineRule="exact"/>
              <w:jc w:val="right"/>
              <w:rPr>
                <w:rFonts w:ascii="宋体" w:hAnsi="宋体" w:eastAsia="宋体" w:cs="宋体"/>
                <w:sz w:val="18"/>
                <w:szCs w:val="18"/>
              </w:rPr>
            </w:pPr>
            <w:r>
              <w:rPr>
                <w:rFonts w:ascii="宋体" w:hAnsi="宋体" w:eastAsia="宋体" w:cs="宋体"/>
                <w:sz w:val="18"/>
                <w:szCs w:val="18"/>
              </w:rPr>
              <w:t>131,932,438.14</w:t>
            </w:r>
          </w:p>
        </w:tc>
      </w:tr>
      <w:tr w14:paraId="5B46102D">
        <w:tblPrEx>
          <w:tblCellMar>
            <w:top w:w="0" w:type="dxa"/>
            <w:left w:w="108" w:type="dxa"/>
            <w:bottom w:w="0" w:type="dxa"/>
            <w:right w:w="108" w:type="dxa"/>
          </w:tblCellMar>
        </w:tblPrEx>
        <w:trPr>
          <w:trHeight w:val="283" w:hRule="atLeast"/>
        </w:trPr>
        <w:tc>
          <w:tcPr>
            <w:tcW w:w="2683" w:type="pct"/>
            <w:shd w:val="clear" w:color="auto" w:fill="D3D3D3"/>
            <w:vAlign w:val="center"/>
          </w:tcPr>
          <w:p w14:paraId="00B5B6C3">
            <w:pPr>
              <w:spacing w:before="0" w:after="0" w:line="240" w:lineRule="exact"/>
              <w:ind w:firstLine="720" w:firstLineChars="400"/>
              <w:jc w:val="left"/>
              <w:rPr>
                <w:rFonts w:ascii="宋体" w:hAnsi="宋体" w:eastAsia="宋体" w:cs="宋体"/>
                <w:sz w:val="18"/>
                <w:szCs w:val="18"/>
              </w:rPr>
            </w:pPr>
            <w:r>
              <w:rPr>
                <w:rFonts w:ascii="宋体" w:hAnsi="宋体" w:eastAsia="宋体" w:cs="宋体"/>
                <w:sz w:val="18"/>
                <w:szCs w:val="18"/>
              </w:rPr>
              <w:t>利息收入</w:t>
            </w:r>
          </w:p>
        </w:tc>
        <w:tc>
          <w:tcPr>
            <w:tcW w:w="1235" w:type="pct"/>
            <w:vAlign w:val="center"/>
          </w:tcPr>
          <w:p w14:paraId="681A8404">
            <w:pPr>
              <w:spacing w:before="0" w:after="0" w:line="240" w:lineRule="exact"/>
              <w:jc w:val="right"/>
              <w:rPr>
                <w:rFonts w:ascii="宋体" w:hAnsi="宋体" w:eastAsia="宋体" w:cs="宋体"/>
                <w:sz w:val="18"/>
                <w:szCs w:val="18"/>
              </w:rPr>
            </w:pPr>
          </w:p>
        </w:tc>
        <w:tc>
          <w:tcPr>
            <w:tcW w:w="1080" w:type="pct"/>
            <w:vAlign w:val="center"/>
          </w:tcPr>
          <w:p w14:paraId="3CF95066">
            <w:pPr>
              <w:spacing w:before="0" w:after="0" w:line="240" w:lineRule="exact"/>
              <w:jc w:val="right"/>
              <w:rPr>
                <w:rFonts w:ascii="宋体" w:hAnsi="宋体" w:eastAsia="宋体" w:cs="宋体"/>
                <w:sz w:val="18"/>
                <w:szCs w:val="18"/>
              </w:rPr>
            </w:pPr>
          </w:p>
        </w:tc>
      </w:tr>
      <w:tr w14:paraId="63448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683" w:type="pct"/>
            <w:shd w:val="clear" w:color="auto" w:fill="D3D3D3"/>
            <w:vAlign w:val="center"/>
          </w:tcPr>
          <w:p w14:paraId="7E48264C">
            <w:pPr>
              <w:spacing w:before="0" w:after="0" w:line="240" w:lineRule="exact"/>
              <w:ind w:firstLine="720" w:firstLineChars="400"/>
              <w:jc w:val="left"/>
              <w:rPr>
                <w:rFonts w:ascii="宋体" w:hAnsi="宋体" w:eastAsia="宋体" w:cs="宋体"/>
                <w:sz w:val="18"/>
                <w:szCs w:val="18"/>
              </w:rPr>
            </w:pPr>
            <w:r>
              <w:rPr>
                <w:rFonts w:ascii="宋体" w:hAnsi="宋体" w:eastAsia="宋体" w:cs="宋体"/>
                <w:sz w:val="18"/>
                <w:szCs w:val="18"/>
              </w:rPr>
              <w:t>已赚保费</w:t>
            </w:r>
          </w:p>
        </w:tc>
        <w:tc>
          <w:tcPr>
            <w:tcW w:w="1235" w:type="pct"/>
            <w:vAlign w:val="center"/>
          </w:tcPr>
          <w:p w14:paraId="33A0F992">
            <w:pPr>
              <w:spacing w:before="0" w:after="0" w:line="240" w:lineRule="exact"/>
              <w:jc w:val="right"/>
              <w:rPr>
                <w:rFonts w:ascii="宋体" w:hAnsi="宋体" w:eastAsia="宋体" w:cs="宋体"/>
                <w:sz w:val="18"/>
                <w:szCs w:val="18"/>
              </w:rPr>
            </w:pPr>
          </w:p>
        </w:tc>
        <w:tc>
          <w:tcPr>
            <w:tcW w:w="1080" w:type="pct"/>
            <w:vAlign w:val="center"/>
          </w:tcPr>
          <w:p w14:paraId="27FDDBBB">
            <w:pPr>
              <w:spacing w:before="0" w:after="0" w:line="240" w:lineRule="exact"/>
              <w:jc w:val="right"/>
              <w:rPr>
                <w:rFonts w:ascii="宋体" w:hAnsi="宋体" w:eastAsia="宋体" w:cs="宋体"/>
                <w:sz w:val="18"/>
                <w:szCs w:val="18"/>
              </w:rPr>
            </w:pPr>
          </w:p>
        </w:tc>
      </w:tr>
      <w:tr w14:paraId="42E74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683" w:type="pct"/>
            <w:shd w:val="clear" w:color="auto" w:fill="D3D3D3"/>
            <w:vAlign w:val="center"/>
          </w:tcPr>
          <w:p w14:paraId="145FCB7E">
            <w:pPr>
              <w:spacing w:before="0" w:after="0" w:line="240" w:lineRule="exact"/>
              <w:ind w:firstLine="720" w:firstLineChars="400"/>
              <w:jc w:val="left"/>
              <w:rPr>
                <w:rFonts w:ascii="宋体" w:hAnsi="宋体" w:eastAsia="宋体" w:cs="宋体"/>
                <w:sz w:val="18"/>
                <w:szCs w:val="18"/>
              </w:rPr>
            </w:pPr>
            <w:r>
              <w:rPr>
                <w:rFonts w:ascii="宋体" w:hAnsi="宋体" w:eastAsia="宋体" w:cs="宋体"/>
                <w:sz w:val="18"/>
                <w:szCs w:val="18"/>
              </w:rPr>
              <w:t>手续费及佣金收入</w:t>
            </w:r>
          </w:p>
        </w:tc>
        <w:tc>
          <w:tcPr>
            <w:tcW w:w="1235" w:type="pct"/>
            <w:vAlign w:val="center"/>
          </w:tcPr>
          <w:p w14:paraId="2D0A711F">
            <w:pPr>
              <w:spacing w:before="0" w:after="0" w:line="240" w:lineRule="exact"/>
              <w:jc w:val="right"/>
              <w:rPr>
                <w:rFonts w:ascii="宋体" w:hAnsi="宋体" w:eastAsia="宋体" w:cs="宋体"/>
                <w:sz w:val="18"/>
                <w:szCs w:val="18"/>
              </w:rPr>
            </w:pPr>
          </w:p>
        </w:tc>
        <w:tc>
          <w:tcPr>
            <w:tcW w:w="1080" w:type="pct"/>
            <w:vAlign w:val="center"/>
          </w:tcPr>
          <w:p w14:paraId="14FC6D50">
            <w:pPr>
              <w:spacing w:before="0" w:after="0" w:line="240" w:lineRule="exact"/>
              <w:jc w:val="right"/>
              <w:rPr>
                <w:rFonts w:ascii="宋体" w:hAnsi="宋体" w:eastAsia="宋体" w:cs="宋体"/>
                <w:sz w:val="18"/>
                <w:szCs w:val="18"/>
              </w:rPr>
            </w:pPr>
          </w:p>
        </w:tc>
      </w:tr>
      <w:tr w14:paraId="2041F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683" w:type="pct"/>
            <w:shd w:val="clear" w:color="auto" w:fill="D3D3D3"/>
            <w:vAlign w:val="center"/>
          </w:tcPr>
          <w:p w14:paraId="1F5D00FE">
            <w:pPr>
              <w:spacing w:before="40" w:after="40" w:line="240" w:lineRule="exact"/>
              <w:jc w:val="left"/>
              <w:rPr>
                <w:rFonts w:ascii="宋体" w:hAnsi="宋体" w:eastAsia="宋体" w:cs="宋体"/>
                <w:sz w:val="18"/>
                <w:szCs w:val="18"/>
              </w:rPr>
            </w:pPr>
            <w:r>
              <w:rPr>
                <w:rFonts w:ascii="宋体" w:hAnsi="宋体" w:eastAsia="宋体" w:cs="宋体"/>
                <w:sz w:val="18"/>
                <w:szCs w:val="18"/>
              </w:rPr>
              <w:t>二、营业总成本</w:t>
            </w:r>
          </w:p>
        </w:tc>
        <w:tc>
          <w:tcPr>
            <w:tcW w:w="1235" w:type="pct"/>
            <w:vAlign w:val="center"/>
          </w:tcPr>
          <w:p w14:paraId="338DE03B">
            <w:pPr>
              <w:spacing w:before="0" w:after="0" w:line="240" w:lineRule="exact"/>
              <w:jc w:val="right"/>
              <w:rPr>
                <w:rFonts w:ascii="宋体" w:hAnsi="宋体" w:eastAsia="宋体" w:cs="宋体"/>
                <w:sz w:val="18"/>
                <w:szCs w:val="18"/>
              </w:rPr>
            </w:pPr>
            <w:r>
              <w:rPr>
                <w:rFonts w:ascii="宋体" w:hAnsi="宋体" w:eastAsia="宋体" w:cs="宋体"/>
                <w:sz w:val="18"/>
                <w:szCs w:val="18"/>
              </w:rPr>
              <w:t>98,461,070.91</w:t>
            </w:r>
          </w:p>
        </w:tc>
        <w:tc>
          <w:tcPr>
            <w:tcW w:w="1080" w:type="pct"/>
            <w:vAlign w:val="center"/>
          </w:tcPr>
          <w:p w14:paraId="2C4EE275">
            <w:pPr>
              <w:spacing w:before="0" w:after="0" w:line="240" w:lineRule="exact"/>
              <w:jc w:val="right"/>
              <w:rPr>
                <w:rFonts w:ascii="宋体" w:hAnsi="宋体" w:eastAsia="宋体" w:cs="宋体"/>
                <w:sz w:val="18"/>
                <w:szCs w:val="18"/>
              </w:rPr>
            </w:pPr>
            <w:r>
              <w:rPr>
                <w:rFonts w:ascii="宋体" w:hAnsi="宋体" w:eastAsia="宋体" w:cs="宋体"/>
                <w:sz w:val="18"/>
                <w:szCs w:val="18"/>
              </w:rPr>
              <w:t>98,867,013.30</w:t>
            </w:r>
          </w:p>
        </w:tc>
      </w:tr>
      <w:tr w14:paraId="6487B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683" w:type="pct"/>
            <w:shd w:val="clear" w:color="auto" w:fill="D3D3D3"/>
            <w:vAlign w:val="center"/>
          </w:tcPr>
          <w:p w14:paraId="064CC466">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其中：营业成本</w:t>
            </w:r>
          </w:p>
        </w:tc>
        <w:tc>
          <w:tcPr>
            <w:tcW w:w="1235" w:type="pct"/>
            <w:vAlign w:val="center"/>
          </w:tcPr>
          <w:p w14:paraId="573ADB24">
            <w:pPr>
              <w:spacing w:before="0" w:after="0" w:line="240" w:lineRule="exact"/>
              <w:jc w:val="right"/>
              <w:rPr>
                <w:rFonts w:ascii="宋体" w:hAnsi="宋体" w:eastAsia="宋体" w:cs="宋体"/>
                <w:sz w:val="18"/>
                <w:szCs w:val="18"/>
              </w:rPr>
            </w:pPr>
            <w:r>
              <w:rPr>
                <w:rFonts w:ascii="宋体" w:hAnsi="宋体" w:eastAsia="宋体" w:cs="宋体"/>
                <w:sz w:val="18"/>
                <w:szCs w:val="18"/>
              </w:rPr>
              <w:t>82,458,000.39</w:t>
            </w:r>
          </w:p>
        </w:tc>
        <w:tc>
          <w:tcPr>
            <w:tcW w:w="1080" w:type="pct"/>
            <w:vAlign w:val="center"/>
          </w:tcPr>
          <w:p w14:paraId="1F5E6793">
            <w:pPr>
              <w:spacing w:before="0" w:after="0" w:line="240" w:lineRule="exact"/>
              <w:jc w:val="right"/>
              <w:rPr>
                <w:rFonts w:ascii="宋体" w:hAnsi="宋体" w:eastAsia="宋体" w:cs="宋体"/>
                <w:sz w:val="18"/>
                <w:szCs w:val="18"/>
              </w:rPr>
            </w:pPr>
            <w:r>
              <w:rPr>
                <w:rFonts w:ascii="宋体" w:hAnsi="宋体" w:eastAsia="宋体" w:cs="宋体"/>
                <w:sz w:val="18"/>
                <w:szCs w:val="18"/>
              </w:rPr>
              <w:t>86,147,409.95</w:t>
            </w:r>
          </w:p>
        </w:tc>
      </w:tr>
      <w:tr w14:paraId="19B9F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683" w:type="pct"/>
            <w:shd w:val="clear" w:color="auto" w:fill="D3D3D3"/>
            <w:vAlign w:val="center"/>
          </w:tcPr>
          <w:p w14:paraId="633D0CD1">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利息支出</w:t>
            </w:r>
          </w:p>
        </w:tc>
        <w:tc>
          <w:tcPr>
            <w:tcW w:w="1235" w:type="pct"/>
            <w:vAlign w:val="center"/>
          </w:tcPr>
          <w:p w14:paraId="73BABE86">
            <w:pPr>
              <w:spacing w:before="0" w:after="0" w:line="240" w:lineRule="exact"/>
              <w:jc w:val="right"/>
              <w:rPr>
                <w:rFonts w:ascii="宋体" w:hAnsi="宋体" w:eastAsia="宋体" w:cs="宋体"/>
                <w:sz w:val="18"/>
                <w:szCs w:val="18"/>
              </w:rPr>
            </w:pPr>
          </w:p>
        </w:tc>
        <w:tc>
          <w:tcPr>
            <w:tcW w:w="1080" w:type="pct"/>
            <w:vAlign w:val="center"/>
          </w:tcPr>
          <w:p w14:paraId="5D4F8FF0">
            <w:pPr>
              <w:spacing w:before="0" w:after="0" w:line="240" w:lineRule="exact"/>
              <w:jc w:val="right"/>
              <w:rPr>
                <w:rFonts w:ascii="宋体" w:hAnsi="宋体" w:eastAsia="宋体" w:cs="宋体"/>
                <w:sz w:val="18"/>
                <w:szCs w:val="18"/>
              </w:rPr>
            </w:pPr>
          </w:p>
        </w:tc>
      </w:tr>
      <w:tr w14:paraId="24E5E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683" w:type="pct"/>
            <w:shd w:val="clear" w:color="auto" w:fill="D3D3D3"/>
            <w:vAlign w:val="center"/>
          </w:tcPr>
          <w:p w14:paraId="0B81C3CE">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手续费及佣金支出</w:t>
            </w:r>
          </w:p>
        </w:tc>
        <w:tc>
          <w:tcPr>
            <w:tcW w:w="1235" w:type="pct"/>
            <w:vAlign w:val="center"/>
          </w:tcPr>
          <w:p w14:paraId="7B5C4AAD">
            <w:pPr>
              <w:spacing w:before="0" w:after="0" w:line="240" w:lineRule="exact"/>
              <w:jc w:val="right"/>
              <w:rPr>
                <w:rFonts w:ascii="宋体" w:hAnsi="宋体" w:eastAsia="宋体" w:cs="宋体"/>
                <w:sz w:val="18"/>
                <w:szCs w:val="18"/>
              </w:rPr>
            </w:pPr>
          </w:p>
        </w:tc>
        <w:tc>
          <w:tcPr>
            <w:tcW w:w="1080" w:type="pct"/>
            <w:vAlign w:val="center"/>
          </w:tcPr>
          <w:p w14:paraId="23C2DCAA">
            <w:pPr>
              <w:spacing w:before="0" w:after="0" w:line="240" w:lineRule="exact"/>
              <w:jc w:val="right"/>
              <w:rPr>
                <w:rFonts w:ascii="宋体" w:hAnsi="宋体" w:eastAsia="宋体" w:cs="宋体"/>
                <w:sz w:val="18"/>
                <w:szCs w:val="18"/>
              </w:rPr>
            </w:pPr>
          </w:p>
        </w:tc>
      </w:tr>
      <w:tr w14:paraId="74089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683" w:type="pct"/>
            <w:shd w:val="clear" w:color="auto" w:fill="D3D3D3"/>
            <w:vAlign w:val="center"/>
          </w:tcPr>
          <w:p w14:paraId="0B4CA112">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退保金</w:t>
            </w:r>
          </w:p>
        </w:tc>
        <w:tc>
          <w:tcPr>
            <w:tcW w:w="1235" w:type="pct"/>
            <w:vAlign w:val="center"/>
          </w:tcPr>
          <w:p w14:paraId="128BAD07">
            <w:pPr>
              <w:spacing w:before="0" w:after="0" w:line="240" w:lineRule="exact"/>
              <w:jc w:val="right"/>
              <w:rPr>
                <w:rFonts w:ascii="宋体" w:hAnsi="宋体" w:eastAsia="宋体" w:cs="宋体"/>
                <w:sz w:val="18"/>
                <w:szCs w:val="18"/>
              </w:rPr>
            </w:pPr>
          </w:p>
        </w:tc>
        <w:tc>
          <w:tcPr>
            <w:tcW w:w="1080" w:type="pct"/>
            <w:vAlign w:val="center"/>
          </w:tcPr>
          <w:p w14:paraId="71F66D0B">
            <w:pPr>
              <w:spacing w:before="0" w:after="0" w:line="240" w:lineRule="exact"/>
              <w:jc w:val="right"/>
              <w:rPr>
                <w:rFonts w:ascii="宋体" w:hAnsi="宋体" w:eastAsia="宋体" w:cs="宋体"/>
                <w:sz w:val="18"/>
                <w:szCs w:val="18"/>
              </w:rPr>
            </w:pPr>
          </w:p>
        </w:tc>
      </w:tr>
      <w:tr w14:paraId="31077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683" w:type="pct"/>
            <w:shd w:val="clear" w:color="auto" w:fill="D3D3D3"/>
            <w:vAlign w:val="center"/>
          </w:tcPr>
          <w:p w14:paraId="780101E0">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赔付支出净额</w:t>
            </w:r>
          </w:p>
        </w:tc>
        <w:tc>
          <w:tcPr>
            <w:tcW w:w="1235" w:type="pct"/>
            <w:vAlign w:val="center"/>
          </w:tcPr>
          <w:p w14:paraId="67458E30">
            <w:pPr>
              <w:spacing w:before="0" w:after="0" w:line="240" w:lineRule="exact"/>
              <w:jc w:val="right"/>
              <w:rPr>
                <w:rFonts w:ascii="宋体" w:hAnsi="宋体" w:eastAsia="宋体" w:cs="宋体"/>
                <w:sz w:val="18"/>
                <w:szCs w:val="18"/>
              </w:rPr>
            </w:pPr>
          </w:p>
        </w:tc>
        <w:tc>
          <w:tcPr>
            <w:tcW w:w="1080" w:type="pct"/>
            <w:vAlign w:val="center"/>
          </w:tcPr>
          <w:p w14:paraId="674CD4EE">
            <w:pPr>
              <w:spacing w:before="0" w:after="0" w:line="240" w:lineRule="exact"/>
              <w:jc w:val="right"/>
              <w:rPr>
                <w:rFonts w:ascii="宋体" w:hAnsi="宋体" w:eastAsia="宋体" w:cs="宋体"/>
                <w:sz w:val="18"/>
                <w:szCs w:val="18"/>
              </w:rPr>
            </w:pPr>
          </w:p>
        </w:tc>
      </w:tr>
      <w:tr w14:paraId="545F1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683" w:type="pct"/>
            <w:shd w:val="clear" w:color="auto" w:fill="D3D3D3"/>
            <w:vAlign w:val="center"/>
          </w:tcPr>
          <w:p w14:paraId="6F89E71F">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提取保险责任准备金净额</w:t>
            </w:r>
          </w:p>
        </w:tc>
        <w:tc>
          <w:tcPr>
            <w:tcW w:w="1235" w:type="pct"/>
            <w:vAlign w:val="center"/>
          </w:tcPr>
          <w:p w14:paraId="34752128">
            <w:pPr>
              <w:spacing w:before="0" w:after="0" w:line="240" w:lineRule="exact"/>
              <w:jc w:val="right"/>
              <w:rPr>
                <w:rFonts w:ascii="宋体" w:hAnsi="宋体" w:eastAsia="宋体" w:cs="宋体"/>
                <w:sz w:val="18"/>
                <w:szCs w:val="18"/>
              </w:rPr>
            </w:pPr>
          </w:p>
        </w:tc>
        <w:tc>
          <w:tcPr>
            <w:tcW w:w="1080" w:type="pct"/>
            <w:vAlign w:val="center"/>
          </w:tcPr>
          <w:p w14:paraId="644BFC3D">
            <w:pPr>
              <w:spacing w:before="0" w:after="0" w:line="240" w:lineRule="exact"/>
              <w:jc w:val="right"/>
              <w:rPr>
                <w:rFonts w:ascii="宋体" w:hAnsi="宋体" w:eastAsia="宋体" w:cs="宋体"/>
                <w:sz w:val="18"/>
                <w:szCs w:val="18"/>
              </w:rPr>
            </w:pPr>
          </w:p>
        </w:tc>
      </w:tr>
      <w:tr w14:paraId="707E8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683" w:type="pct"/>
            <w:shd w:val="clear" w:color="auto" w:fill="D3D3D3"/>
            <w:vAlign w:val="center"/>
          </w:tcPr>
          <w:p w14:paraId="2BBA640C">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保单红利支出</w:t>
            </w:r>
          </w:p>
        </w:tc>
        <w:tc>
          <w:tcPr>
            <w:tcW w:w="1235" w:type="pct"/>
            <w:vAlign w:val="center"/>
          </w:tcPr>
          <w:p w14:paraId="30EC282D">
            <w:pPr>
              <w:spacing w:before="0" w:after="0" w:line="240" w:lineRule="exact"/>
              <w:jc w:val="right"/>
              <w:rPr>
                <w:rFonts w:ascii="宋体" w:hAnsi="宋体" w:eastAsia="宋体" w:cs="宋体"/>
                <w:sz w:val="18"/>
                <w:szCs w:val="18"/>
              </w:rPr>
            </w:pPr>
          </w:p>
        </w:tc>
        <w:tc>
          <w:tcPr>
            <w:tcW w:w="1080" w:type="pct"/>
            <w:vAlign w:val="center"/>
          </w:tcPr>
          <w:p w14:paraId="60561F7F">
            <w:pPr>
              <w:spacing w:before="0" w:after="0" w:line="240" w:lineRule="exact"/>
              <w:jc w:val="right"/>
              <w:rPr>
                <w:rFonts w:ascii="宋体" w:hAnsi="宋体" w:eastAsia="宋体" w:cs="宋体"/>
                <w:sz w:val="18"/>
                <w:szCs w:val="18"/>
              </w:rPr>
            </w:pPr>
          </w:p>
        </w:tc>
      </w:tr>
      <w:tr w14:paraId="35F2B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683" w:type="pct"/>
            <w:shd w:val="clear" w:color="auto" w:fill="D3D3D3"/>
            <w:vAlign w:val="center"/>
          </w:tcPr>
          <w:p w14:paraId="2EA4C972">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分保费用</w:t>
            </w:r>
          </w:p>
        </w:tc>
        <w:tc>
          <w:tcPr>
            <w:tcW w:w="1235" w:type="pct"/>
            <w:vAlign w:val="center"/>
          </w:tcPr>
          <w:p w14:paraId="1B95C702">
            <w:pPr>
              <w:spacing w:before="0" w:after="0" w:line="240" w:lineRule="exact"/>
              <w:jc w:val="right"/>
              <w:rPr>
                <w:rFonts w:ascii="宋体" w:hAnsi="宋体" w:eastAsia="宋体" w:cs="宋体"/>
                <w:sz w:val="18"/>
                <w:szCs w:val="18"/>
              </w:rPr>
            </w:pPr>
          </w:p>
        </w:tc>
        <w:tc>
          <w:tcPr>
            <w:tcW w:w="1080" w:type="pct"/>
            <w:vAlign w:val="center"/>
          </w:tcPr>
          <w:p w14:paraId="5461A876">
            <w:pPr>
              <w:spacing w:before="0" w:after="0" w:line="240" w:lineRule="exact"/>
              <w:jc w:val="right"/>
              <w:rPr>
                <w:rFonts w:ascii="宋体" w:hAnsi="宋体" w:eastAsia="宋体" w:cs="宋体"/>
                <w:sz w:val="18"/>
                <w:szCs w:val="18"/>
              </w:rPr>
            </w:pPr>
          </w:p>
        </w:tc>
      </w:tr>
      <w:tr w14:paraId="22ACA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683" w:type="pct"/>
            <w:shd w:val="clear" w:color="auto" w:fill="D3D3D3"/>
            <w:vAlign w:val="center"/>
          </w:tcPr>
          <w:p w14:paraId="625AF250">
            <w:pPr>
              <w:spacing w:before="0" w:after="0" w:line="240" w:lineRule="exact"/>
              <w:ind w:firstLine="720" w:firstLineChars="400"/>
              <w:jc w:val="left"/>
              <w:rPr>
                <w:rFonts w:ascii="宋体" w:hAnsi="宋体" w:eastAsia="宋体" w:cs="宋体"/>
                <w:sz w:val="18"/>
                <w:szCs w:val="18"/>
              </w:rPr>
            </w:pPr>
            <w:r>
              <w:rPr>
                <w:rFonts w:ascii="宋体" w:hAnsi="宋体" w:eastAsia="宋体" w:cs="宋体"/>
                <w:sz w:val="18"/>
                <w:szCs w:val="18"/>
              </w:rPr>
              <w:t>税金及附加</w:t>
            </w:r>
          </w:p>
        </w:tc>
        <w:tc>
          <w:tcPr>
            <w:tcW w:w="1235" w:type="pct"/>
            <w:vAlign w:val="center"/>
          </w:tcPr>
          <w:p w14:paraId="0FBB4050">
            <w:pPr>
              <w:spacing w:before="0" w:after="0" w:line="240" w:lineRule="exact"/>
              <w:jc w:val="right"/>
              <w:rPr>
                <w:rFonts w:ascii="宋体" w:hAnsi="宋体" w:eastAsia="宋体" w:cs="宋体"/>
                <w:sz w:val="18"/>
                <w:szCs w:val="18"/>
              </w:rPr>
            </w:pPr>
            <w:r>
              <w:rPr>
                <w:rFonts w:ascii="宋体" w:hAnsi="宋体" w:eastAsia="宋体" w:cs="宋体"/>
                <w:sz w:val="18"/>
                <w:szCs w:val="18"/>
              </w:rPr>
              <w:t>1,411,776.19</w:t>
            </w:r>
          </w:p>
        </w:tc>
        <w:tc>
          <w:tcPr>
            <w:tcW w:w="1080" w:type="pct"/>
            <w:vAlign w:val="center"/>
          </w:tcPr>
          <w:p w14:paraId="28336930">
            <w:pPr>
              <w:spacing w:before="0" w:after="0" w:line="240" w:lineRule="exact"/>
              <w:jc w:val="right"/>
              <w:rPr>
                <w:rFonts w:ascii="宋体" w:hAnsi="宋体" w:eastAsia="宋体" w:cs="宋体"/>
                <w:sz w:val="18"/>
                <w:szCs w:val="18"/>
              </w:rPr>
            </w:pPr>
            <w:r>
              <w:rPr>
                <w:rFonts w:ascii="宋体" w:hAnsi="宋体" w:eastAsia="宋体" w:cs="宋体"/>
                <w:sz w:val="18"/>
                <w:szCs w:val="18"/>
              </w:rPr>
              <w:t>1,555,991.39</w:t>
            </w:r>
          </w:p>
        </w:tc>
      </w:tr>
      <w:tr w14:paraId="0344D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683" w:type="pct"/>
            <w:shd w:val="clear" w:color="auto" w:fill="D3D3D3"/>
            <w:vAlign w:val="center"/>
          </w:tcPr>
          <w:p w14:paraId="55773A1C">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销售费用</w:t>
            </w:r>
          </w:p>
        </w:tc>
        <w:tc>
          <w:tcPr>
            <w:tcW w:w="1235" w:type="pct"/>
            <w:vAlign w:val="center"/>
          </w:tcPr>
          <w:p w14:paraId="7EE2A8DF">
            <w:pPr>
              <w:spacing w:before="0" w:after="0" w:line="240" w:lineRule="exact"/>
              <w:jc w:val="right"/>
              <w:rPr>
                <w:rFonts w:ascii="宋体" w:hAnsi="宋体" w:eastAsia="宋体" w:cs="宋体"/>
                <w:sz w:val="18"/>
                <w:szCs w:val="18"/>
              </w:rPr>
            </w:pPr>
            <w:r>
              <w:rPr>
                <w:rFonts w:ascii="宋体" w:hAnsi="宋体" w:eastAsia="宋体" w:cs="宋体"/>
                <w:sz w:val="18"/>
                <w:szCs w:val="18"/>
              </w:rPr>
              <w:t>6,512,715.85</w:t>
            </w:r>
          </w:p>
        </w:tc>
        <w:tc>
          <w:tcPr>
            <w:tcW w:w="1080" w:type="pct"/>
            <w:vAlign w:val="center"/>
          </w:tcPr>
          <w:p w14:paraId="3852CC05">
            <w:pPr>
              <w:spacing w:before="0" w:after="0" w:line="240" w:lineRule="exact"/>
              <w:jc w:val="right"/>
              <w:rPr>
                <w:rFonts w:ascii="宋体" w:hAnsi="宋体" w:eastAsia="宋体" w:cs="宋体"/>
                <w:sz w:val="18"/>
                <w:szCs w:val="18"/>
              </w:rPr>
            </w:pPr>
            <w:r>
              <w:rPr>
                <w:rFonts w:ascii="宋体" w:hAnsi="宋体" w:eastAsia="宋体" w:cs="宋体"/>
                <w:sz w:val="18"/>
                <w:szCs w:val="18"/>
              </w:rPr>
              <w:t>4,363,264.13</w:t>
            </w:r>
          </w:p>
        </w:tc>
      </w:tr>
      <w:tr w14:paraId="55C33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683" w:type="pct"/>
            <w:shd w:val="clear" w:color="auto" w:fill="D3D3D3"/>
            <w:vAlign w:val="center"/>
          </w:tcPr>
          <w:p w14:paraId="18B99546">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管理费用</w:t>
            </w:r>
          </w:p>
        </w:tc>
        <w:tc>
          <w:tcPr>
            <w:tcW w:w="1235" w:type="pct"/>
            <w:vAlign w:val="center"/>
          </w:tcPr>
          <w:p w14:paraId="45C04362">
            <w:pPr>
              <w:spacing w:before="0" w:after="0" w:line="240" w:lineRule="exact"/>
              <w:jc w:val="right"/>
              <w:rPr>
                <w:rFonts w:ascii="宋体" w:hAnsi="宋体" w:eastAsia="宋体" w:cs="宋体"/>
                <w:sz w:val="18"/>
                <w:szCs w:val="18"/>
              </w:rPr>
            </w:pPr>
            <w:r>
              <w:rPr>
                <w:rFonts w:ascii="宋体" w:hAnsi="宋体" w:eastAsia="宋体" w:cs="宋体"/>
                <w:sz w:val="18"/>
                <w:szCs w:val="18"/>
              </w:rPr>
              <w:t>7,572,051.23</w:t>
            </w:r>
          </w:p>
        </w:tc>
        <w:tc>
          <w:tcPr>
            <w:tcW w:w="1080" w:type="pct"/>
            <w:vAlign w:val="center"/>
          </w:tcPr>
          <w:p w14:paraId="0D81752B">
            <w:pPr>
              <w:spacing w:before="0" w:after="0" w:line="240" w:lineRule="exact"/>
              <w:jc w:val="right"/>
              <w:rPr>
                <w:rFonts w:ascii="宋体" w:hAnsi="宋体" w:eastAsia="宋体" w:cs="宋体"/>
                <w:sz w:val="18"/>
                <w:szCs w:val="18"/>
              </w:rPr>
            </w:pPr>
            <w:r>
              <w:rPr>
                <w:rFonts w:ascii="宋体" w:hAnsi="宋体" w:eastAsia="宋体" w:cs="宋体"/>
                <w:sz w:val="18"/>
                <w:szCs w:val="18"/>
              </w:rPr>
              <w:t>7,423,819.18</w:t>
            </w:r>
          </w:p>
        </w:tc>
      </w:tr>
      <w:tr w14:paraId="3AFED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683" w:type="pct"/>
            <w:shd w:val="clear" w:color="auto" w:fill="D3D3D3"/>
            <w:vAlign w:val="center"/>
          </w:tcPr>
          <w:p w14:paraId="3FE74BE5">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研发费用</w:t>
            </w:r>
          </w:p>
        </w:tc>
        <w:tc>
          <w:tcPr>
            <w:tcW w:w="1235" w:type="pct"/>
            <w:vAlign w:val="center"/>
          </w:tcPr>
          <w:p w14:paraId="1531751F">
            <w:pPr>
              <w:spacing w:before="0" w:after="0" w:line="240" w:lineRule="exact"/>
              <w:jc w:val="right"/>
              <w:rPr>
                <w:rFonts w:ascii="宋体" w:hAnsi="宋体" w:eastAsia="宋体" w:cs="宋体"/>
                <w:sz w:val="18"/>
                <w:szCs w:val="18"/>
              </w:rPr>
            </w:pPr>
            <w:r>
              <w:rPr>
                <w:rFonts w:ascii="宋体" w:hAnsi="宋体" w:eastAsia="宋体" w:cs="宋体"/>
                <w:sz w:val="18"/>
                <w:szCs w:val="18"/>
              </w:rPr>
              <w:t>1,521,135.10</w:t>
            </w:r>
          </w:p>
        </w:tc>
        <w:tc>
          <w:tcPr>
            <w:tcW w:w="1080" w:type="pct"/>
            <w:vAlign w:val="center"/>
          </w:tcPr>
          <w:p w14:paraId="5B43E46E">
            <w:pPr>
              <w:spacing w:before="0" w:after="0" w:line="240" w:lineRule="exact"/>
              <w:jc w:val="right"/>
              <w:rPr>
                <w:rFonts w:ascii="宋体" w:hAnsi="宋体" w:eastAsia="宋体" w:cs="宋体"/>
                <w:sz w:val="18"/>
                <w:szCs w:val="18"/>
              </w:rPr>
            </w:pPr>
            <w:r>
              <w:rPr>
                <w:rFonts w:ascii="宋体" w:hAnsi="宋体" w:eastAsia="宋体" w:cs="宋体"/>
                <w:sz w:val="18"/>
                <w:szCs w:val="18"/>
              </w:rPr>
              <w:t>337,221.40</w:t>
            </w:r>
          </w:p>
        </w:tc>
      </w:tr>
      <w:tr w14:paraId="1FC11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683" w:type="pct"/>
            <w:shd w:val="clear" w:color="auto" w:fill="D3D3D3"/>
            <w:vAlign w:val="center"/>
          </w:tcPr>
          <w:p w14:paraId="2039BE50">
            <w:pPr>
              <w:spacing w:before="40" w:after="40" w:line="240" w:lineRule="exact"/>
              <w:ind w:firstLine="720" w:firstLineChars="400"/>
              <w:jc w:val="left"/>
              <w:rPr>
                <w:rFonts w:ascii="宋体" w:hAnsi="宋体" w:eastAsia="宋体" w:cs="宋体"/>
                <w:sz w:val="18"/>
                <w:szCs w:val="18"/>
              </w:rPr>
            </w:pPr>
            <w:r>
              <w:rPr>
                <w:rFonts w:ascii="宋体" w:hAnsi="宋体" w:eastAsia="宋体" w:cs="宋体"/>
                <w:sz w:val="18"/>
                <w:szCs w:val="18"/>
              </w:rPr>
              <w:t>财务费用</w:t>
            </w:r>
          </w:p>
        </w:tc>
        <w:tc>
          <w:tcPr>
            <w:tcW w:w="1235" w:type="pct"/>
            <w:vAlign w:val="center"/>
          </w:tcPr>
          <w:p w14:paraId="66647823">
            <w:pPr>
              <w:spacing w:before="0" w:after="0" w:line="240" w:lineRule="exact"/>
              <w:jc w:val="right"/>
              <w:rPr>
                <w:rFonts w:ascii="宋体" w:hAnsi="宋体" w:eastAsia="宋体" w:cs="宋体"/>
                <w:sz w:val="18"/>
                <w:szCs w:val="18"/>
              </w:rPr>
            </w:pPr>
            <w:r>
              <w:rPr>
                <w:rFonts w:ascii="宋体" w:hAnsi="宋体" w:eastAsia="宋体" w:cs="宋体"/>
                <w:sz w:val="18"/>
                <w:szCs w:val="18"/>
              </w:rPr>
              <w:t>-1,014,607.85</w:t>
            </w:r>
          </w:p>
        </w:tc>
        <w:tc>
          <w:tcPr>
            <w:tcW w:w="1080" w:type="pct"/>
            <w:vAlign w:val="center"/>
          </w:tcPr>
          <w:p w14:paraId="7F3131BE">
            <w:pPr>
              <w:spacing w:before="0" w:after="0" w:line="240" w:lineRule="exact"/>
              <w:jc w:val="right"/>
              <w:rPr>
                <w:rFonts w:ascii="宋体" w:hAnsi="宋体" w:eastAsia="宋体" w:cs="宋体"/>
                <w:sz w:val="18"/>
                <w:szCs w:val="18"/>
              </w:rPr>
            </w:pPr>
            <w:r>
              <w:rPr>
                <w:rFonts w:ascii="宋体" w:hAnsi="宋体" w:eastAsia="宋体" w:cs="宋体"/>
                <w:sz w:val="18"/>
                <w:szCs w:val="18"/>
              </w:rPr>
              <w:t>-960,692.75</w:t>
            </w:r>
          </w:p>
        </w:tc>
      </w:tr>
      <w:tr w14:paraId="23D11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683" w:type="pct"/>
            <w:shd w:val="clear" w:color="auto" w:fill="D3D3D3"/>
            <w:vAlign w:val="center"/>
          </w:tcPr>
          <w:p w14:paraId="7AD3B1F3">
            <w:pPr>
              <w:spacing w:before="40" w:after="40" w:line="240" w:lineRule="exact"/>
              <w:ind w:firstLine="900" w:firstLineChars="500"/>
              <w:jc w:val="left"/>
              <w:rPr>
                <w:rFonts w:ascii="宋体" w:hAnsi="宋体" w:eastAsia="宋体" w:cs="宋体"/>
                <w:sz w:val="18"/>
                <w:szCs w:val="18"/>
              </w:rPr>
            </w:pPr>
            <w:r>
              <w:rPr>
                <w:rFonts w:ascii="宋体" w:hAnsi="宋体" w:eastAsia="宋体" w:cs="宋体"/>
                <w:sz w:val="18"/>
                <w:szCs w:val="18"/>
              </w:rPr>
              <w:t>其中：利息费用</w:t>
            </w:r>
          </w:p>
        </w:tc>
        <w:tc>
          <w:tcPr>
            <w:tcW w:w="1235" w:type="pct"/>
            <w:vAlign w:val="center"/>
          </w:tcPr>
          <w:p w14:paraId="33BDFB20">
            <w:pPr>
              <w:spacing w:before="0" w:after="0" w:line="240" w:lineRule="exact"/>
              <w:jc w:val="right"/>
              <w:rPr>
                <w:rFonts w:ascii="宋体" w:hAnsi="宋体" w:eastAsia="宋体" w:cs="宋体"/>
                <w:sz w:val="18"/>
                <w:szCs w:val="18"/>
              </w:rPr>
            </w:pPr>
          </w:p>
        </w:tc>
        <w:tc>
          <w:tcPr>
            <w:tcW w:w="1080" w:type="pct"/>
            <w:vAlign w:val="center"/>
          </w:tcPr>
          <w:p w14:paraId="6AE7F7A1">
            <w:pPr>
              <w:spacing w:before="0" w:after="0" w:line="240" w:lineRule="exact"/>
              <w:jc w:val="right"/>
              <w:rPr>
                <w:rFonts w:ascii="宋体" w:hAnsi="宋体" w:eastAsia="宋体" w:cs="宋体"/>
                <w:sz w:val="18"/>
                <w:szCs w:val="18"/>
              </w:rPr>
            </w:pPr>
          </w:p>
        </w:tc>
      </w:tr>
      <w:tr w14:paraId="69AC9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683" w:type="pct"/>
            <w:shd w:val="clear" w:color="auto" w:fill="D3D3D3"/>
            <w:vAlign w:val="center"/>
          </w:tcPr>
          <w:p w14:paraId="757067CC">
            <w:pPr>
              <w:spacing w:before="40" w:after="40" w:line="240" w:lineRule="exact"/>
              <w:ind w:firstLine="1440" w:firstLineChars="800"/>
              <w:jc w:val="left"/>
              <w:rPr>
                <w:rFonts w:ascii="宋体" w:hAnsi="宋体" w:eastAsia="宋体" w:cs="宋体"/>
                <w:sz w:val="18"/>
                <w:szCs w:val="18"/>
              </w:rPr>
            </w:pPr>
            <w:r>
              <w:rPr>
                <w:rFonts w:ascii="宋体" w:hAnsi="宋体" w:eastAsia="宋体" w:cs="宋体"/>
                <w:sz w:val="18"/>
                <w:szCs w:val="18"/>
              </w:rPr>
              <w:t>利息收入</w:t>
            </w:r>
          </w:p>
        </w:tc>
        <w:tc>
          <w:tcPr>
            <w:tcW w:w="1235" w:type="pct"/>
            <w:vAlign w:val="center"/>
          </w:tcPr>
          <w:p w14:paraId="3B049A1B">
            <w:pPr>
              <w:spacing w:before="0" w:after="0" w:line="240" w:lineRule="exact"/>
              <w:jc w:val="right"/>
              <w:rPr>
                <w:rFonts w:ascii="宋体" w:hAnsi="宋体" w:eastAsia="宋体" w:cs="宋体"/>
                <w:sz w:val="18"/>
                <w:szCs w:val="18"/>
              </w:rPr>
            </w:pPr>
          </w:p>
        </w:tc>
        <w:tc>
          <w:tcPr>
            <w:tcW w:w="1080" w:type="pct"/>
            <w:vAlign w:val="center"/>
          </w:tcPr>
          <w:p w14:paraId="13094CB8">
            <w:pPr>
              <w:spacing w:before="0" w:after="0" w:line="240" w:lineRule="exact"/>
              <w:jc w:val="right"/>
              <w:rPr>
                <w:rFonts w:ascii="宋体" w:hAnsi="宋体" w:eastAsia="宋体" w:cs="宋体"/>
                <w:sz w:val="18"/>
                <w:szCs w:val="18"/>
              </w:rPr>
            </w:pPr>
          </w:p>
        </w:tc>
      </w:tr>
      <w:tr w14:paraId="091EC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683" w:type="pct"/>
            <w:shd w:val="clear" w:color="auto" w:fill="D3D3D3"/>
            <w:vAlign w:val="center"/>
          </w:tcPr>
          <w:p w14:paraId="06049E7D">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加：其他收益</w:t>
            </w:r>
          </w:p>
        </w:tc>
        <w:tc>
          <w:tcPr>
            <w:tcW w:w="1235" w:type="pct"/>
            <w:vAlign w:val="center"/>
          </w:tcPr>
          <w:p w14:paraId="1F0D9EEC">
            <w:pPr>
              <w:spacing w:before="0" w:after="0" w:line="240" w:lineRule="exact"/>
              <w:jc w:val="right"/>
              <w:rPr>
                <w:rFonts w:ascii="宋体" w:hAnsi="宋体" w:eastAsia="宋体" w:cs="宋体"/>
                <w:sz w:val="18"/>
                <w:szCs w:val="18"/>
              </w:rPr>
            </w:pPr>
            <w:r>
              <w:rPr>
                <w:rFonts w:ascii="宋体" w:hAnsi="宋体" w:eastAsia="宋体" w:cs="宋体"/>
                <w:sz w:val="18"/>
                <w:szCs w:val="18"/>
              </w:rPr>
              <w:t>80,260.91</w:t>
            </w:r>
          </w:p>
        </w:tc>
        <w:tc>
          <w:tcPr>
            <w:tcW w:w="1080" w:type="pct"/>
            <w:vAlign w:val="center"/>
          </w:tcPr>
          <w:p w14:paraId="1D0C24B4">
            <w:pPr>
              <w:spacing w:before="0" w:after="0" w:line="240" w:lineRule="exact"/>
              <w:jc w:val="right"/>
              <w:rPr>
                <w:rFonts w:ascii="宋体" w:hAnsi="宋体" w:eastAsia="宋体" w:cs="宋体"/>
                <w:sz w:val="18"/>
                <w:szCs w:val="18"/>
              </w:rPr>
            </w:pPr>
            <w:r>
              <w:rPr>
                <w:rFonts w:ascii="宋体" w:hAnsi="宋体" w:eastAsia="宋体" w:cs="宋体"/>
                <w:sz w:val="18"/>
                <w:szCs w:val="18"/>
              </w:rPr>
              <w:t>93,112.68</w:t>
            </w:r>
          </w:p>
        </w:tc>
      </w:tr>
      <w:tr w14:paraId="0A4A7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683" w:type="pct"/>
            <w:shd w:val="clear" w:color="auto" w:fill="D3D3D3"/>
            <w:vAlign w:val="center"/>
          </w:tcPr>
          <w:p w14:paraId="62B909DA">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投资收益（损失以“－”号填列）</w:t>
            </w:r>
          </w:p>
        </w:tc>
        <w:tc>
          <w:tcPr>
            <w:tcW w:w="1235" w:type="pct"/>
            <w:vAlign w:val="center"/>
          </w:tcPr>
          <w:p w14:paraId="48B623F2">
            <w:pPr>
              <w:spacing w:before="0" w:after="0" w:line="240" w:lineRule="exact"/>
              <w:jc w:val="right"/>
              <w:rPr>
                <w:rFonts w:ascii="宋体" w:hAnsi="宋体" w:eastAsia="宋体" w:cs="宋体"/>
                <w:sz w:val="18"/>
                <w:szCs w:val="18"/>
              </w:rPr>
            </w:pPr>
            <w:r>
              <w:rPr>
                <w:rFonts w:ascii="宋体" w:hAnsi="宋体" w:eastAsia="宋体" w:cs="宋体"/>
                <w:sz w:val="18"/>
                <w:szCs w:val="18"/>
              </w:rPr>
              <w:t>1,669,180.16</w:t>
            </w:r>
          </w:p>
        </w:tc>
        <w:tc>
          <w:tcPr>
            <w:tcW w:w="1080" w:type="pct"/>
            <w:vAlign w:val="center"/>
          </w:tcPr>
          <w:p w14:paraId="6BC56500">
            <w:pPr>
              <w:spacing w:before="0" w:after="0" w:line="240" w:lineRule="exact"/>
              <w:jc w:val="right"/>
              <w:rPr>
                <w:rFonts w:ascii="宋体" w:hAnsi="宋体" w:eastAsia="宋体" w:cs="宋体"/>
                <w:sz w:val="18"/>
                <w:szCs w:val="18"/>
              </w:rPr>
            </w:pPr>
            <w:r>
              <w:rPr>
                <w:rFonts w:ascii="宋体" w:hAnsi="宋体" w:eastAsia="宋体" w:cs="宋体"/>
                <w:sz w:val="18"/>
                <w:szCs w:val="18"/>
              </w:rPr>
              <w:t>4,166,409.47</w:t>
            </w:r>
          </w:p>
        </w:tc>
      </w:tr>
      <w:tr w14:paraId="558E2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683" w:type="pct"/>
            <w:shd w:val="clear" w:color="auto" w:fill="D3D3D3"/>
            <w:vAlign w:val="center"/>
          </w:tcPr>
          <w:p w14:paraId="32C91A11">
            <w:pPr>
              <w:spacing w:before="40" w:after="40" w:line="240" w:lineRule="exact"/>
              <w:ind w:firstLine="900" w:firstLineChars="500"/>
              <w:jc w:val="left"/>
              <w:rPr>
                <w:rFonts w:ascii="宋体" w:hAnsi="宋体" w:eastAsia="宋体" w:cs="宋体"/>
                <w:sz w:val="18"/>
                <w:szCs w:val="18"/>
              </w:rPr>
            </w:pPr>
            <w:r>
              <w:rPr>
                <w:rFonts w:ascii="宋体" w:hAnsi="宋体" w:eastAsia="宋体" w:cs="宋体"/>
                <w:sz w:val="18"/>
                <w:szCs w:val="18"/>
              </w:rPr>
              <w:t>其中：对联营企业和合营企业的投资收益</w:t>
            </w:r>
          </w:p>
        </w:tc>
        <w:tc>
          <w:tcPr>
            <w:tcW w:w="1235" w:type="pct"/>
            <w:vAlign w:val="center"/>
          </w:tcPr>
          <w:p w14:paraId="31B7E590">
            <w:pPr>
              <w:spacing w:before="0" w:after="0" w:line="240" w:lineRule="exact"/>
              <w:jc w:val="right"/>
              <w:rPr>
                <w:rFonts w:ascii="宋体" w:hAnsi="宋体" w:eastAsia="宋体" w:cs="宋体"/>
                <w:sz w:val="18"/>
                <w:szCs w:val="18"/>
              </w:rPr>
            </w:pPr>
            <w:r>
              <w:rPr>
                <w:rFonts w:ascii="宋体" w:hAnsi="宋体" w:eastAsia="宋体" w:cs="宋体"/>
                <w:sz w:val="18"/>
                <w:szCs w:val="18"/>
              </w:rPr>
              <w:t>-2,063,887.53</w:t>
            </w:r>
          </w:p>
        </w:tc>
        <w:tc>
          <w:tcPr>
            <w:tcW w:w="1080" w:type="pct"/>
            <w:vAlign w:val="center"/>
          </w:tcPr>
          <w:p w14:paraId="328CADEA">
            <w:pPr>
              <w:spacing w:before="0" w:after="0" w:line="240" w:lineRule="exact"/>
              <w:jc w:val="right"/>
              <w:rPr>
                <w:rFonts w:ascii="宋体" w:hAnsi="宋体" w:eastAsia="宋体" w:cs="宋体"/>
                <w:sz w:val="18"/>
                <w:szCs w:val="18"/>
              </w:rPr>
            </w:pPr>
          </w:p>
        </w:tc>
      </w:tr>
      <w:tr w14:paraId="5A75A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683" w:type="pct"/>
            <w:shd w:val="clear" w:color="auto" w:fill="D3D3D3"/>
            <w:vAlign w:val="center"/>
          </w:tcPr>
          <w:p w14:paraId="0BD4B14D">
            <w:pPr>
              <w:spacing w:before="40" w:after="40" w:line="240" w:lineRule="exact"/>
              <w:ind w:firstLine="1440" w:firstLineChars="800"/>
              <w:jc w:val="left"/>
              <w:rPr>
                <w:rFonts w:ascii="宋体" w:hAnsi="宋体" w:eastAsia="宋体" w:cs="宋体"/>
                <w:sz w:val="18"/>
                <w:szCs w:val="18"/>
              </w:rPr>
            </w:pPr>
            <w:r>
              <w:rPr>
                <w:rFonts w:ascii="宋体" w:hAnsi="宋体" w:eastAsia="宋体" w:cs="宋体"/>
                <w:sz w:val="18"/>
                <w:szCs w:val="18"/>
              </w:rPr>
              <w:t>以摊余成本计量的金融资产终止确认收益</w:t>
            </w:r>
          </w:p>
        </w:tc>
        <w:tc>
          <w:tcPr>
            <w:tcW w:w="1235" w:type="pct"/>
            <w:vAlign w:val="center"/>
          </w:tcPr>
          <w:p w14:paraId="6234EEDD">
            <w:pPr>
              <w:spacing w:before="0" w:after="0" w:line="240" w:lineRule="exact"/>
              <w:jc w:val="right"/>
              <w:rPr>
                <w:rFonts w:ascii="宋体" w:hAnsi="宋体" w:eastAsia="宋体" w:cs="宋体"/>
                <w:sz w:val="18"/>
                <w:szCs w:val="18"/>
              </w:rPr>
            </w:pPr>
          </w:p>
        </w:tc>
        <w:tc>
          <w:tcPr>
            <w:tcW w:w="1080" w:type="pct"/>
            <w:vAlign w:val="center"/>
          </w:tcPr>
          <w:p w14:paraId="298CFE04">
            <w:pPr>
              <w:spacing w:before="0" w:after="0" w:line="240" w:lineRule="exact"/>
              <w:jc w:val="right"/>
              <w:rPr>
                <w:rFonts w:ascii="宋体" w:hAnsi="宋体" w:eastAsia="宋体" w:cs="宋体"/>
                <w:sz w:val="18"/>
                <w:szCs w:val="18"/>
              </w:rPr>
            </w:pPr>
          </w:p>
        </w:tc>
      </w:tr>
      <w:tr w14:paraId="6F663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683" w:type="pct"/>
            <w:shd w:val="clear" w:color="auto" w:fill="D3D3D3"/>
            <w:vAlign w:val="center"/>
          </w:tcPr>
          <w:p w14:paraId="5C8209AD">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汇兑收益（损失以“-”号填列）</w:t>
            </w:r>
          </w:p>
        </w:tc>
        <w:tc>
          <w:tcPr>
            <w:tcW w:w="1235" w:type="pct"/>
            <w:vAlign w:val="center"/>
          </w:tcPr>
          <w:p w14:paraId="2D54F036">
            <w:pPr>
              <w:spacing w:before="0" w:after="0" w:line="240" w:lineRule="exact"/>
              <w:jc w:val="right"/>
              <w:rPr>
                <w:rFonts w:ascii="宋体" w:hAnsi="宋体" w:eastAsia="宋体" w:cs="宋体"/>
                <w:sz w:val="18"/>
                <w:szCs w:val="18"/>
              </w:rPr>
            </w:pPr>
          </w:p>
        </w:tc>
        <w:tc>
          <w:tcPr>
            <w:tcW w:w="1080" w:type="pct"/>
            <w:vAlign w:val="center"/>
          </w:tcPr>
          <w:p w14:paraId="649AFFA6">
            <w:pPr>
              <w:spacing w:before="0" w:after="0" w:line="240" w:lineRule="exact"/>
              <w:jc w:val="right"/>
              <w:rPr>
                <w:rFonts w:ascii="宋体" w:hAnsi="宋体" w:eastAsia="宋体" w:cs="宋体"/>
                <w:sz w:val="18"/>
                <w:szCs w:val="18"/>
              </w:rPr>
            </w:pPr>
          </w:p>
        </w:tc>
      </w:tr>
      <w:tr w14:paraId="1F637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683" w:type="pct"/>
            <w:shd w:val="clear" w:color="auto" w:fill="D3D3D3"/>
            <w:vAlign w:val="center"/>
          </w:tcPr>
          <w:p w14:paraId="5D533206">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净敞口套期收益（损失以“－”号填列）</w:t>
            </w:r>
          </w:p>
        </w:tc>
        <w:tc>
          <w:tcPr>
            <w:tcW w:w="1235" w:type="pct"/>
            <w:vAlign w:val="center"/>
          </w:tcPr>
          <w:p w14:paraId="2DEDEC14">
            <w:pPr>
              <w:spacing w:before="0" w:after="0" w:line="240" w:lineRule="exact"/>
              <w:jc w:val="right"/>
              <w:rPr>
                <w:rFonts w:ascii="宋体" w:hAnsi="宋体" w:eastAsia="宋体" w:cs="宋体"/>
                <w:sz w:val="18"/>
                <w:szCs w:val="18"/>
              </w:rPr>
            </w:pPr>
          </w:p>
        </w:tc>
        <w:tc>
          <w:tcPr>
            <w:tcW w:w="1080" w:type="pct"/>
            <w:vAlign w:val="center"/>
          </w:tcPr>
          <w:p w14:paraId="08C4B647">
            <w:pPr>
              <w:spacing w:before="0" w:after="0" w:line="240" w:lineRule="exact"/>
              <w:jc w:val="right"/>
              <w:rPr>
                <w:rFonts w:ascii="宋体" w:hAnsi="宋体" w:eastAsia="宋体" w:cs="宋体"/>
                <w:sz w:val="18"/>
                <w:szCs w:val="18"/>
              </w:rPr>
            </w:pPr>
          </w:p>
        </w:tc>
      </w:tr>
      <w:tr w14:paraId="7ED52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683" w:type="pct"/>
            <w:shd w:val="clear" w:color="auto" w:fill="D3D3D3"/>
            <w:vAlign w:val="center"/>
          </w:tcPr>
          <w:p w14:paraId="52C49088">
            <w:pPr>
              <w:spacing w:before="40" w:after="40" w:line="240" w:lineRule="exact"/>
              <w:ind w:firstLine="540" w:firstLineChars="300"/>
              <w:jc w:val="left"/>
              <w:rPr>
                <w:rFonts w:ascii="宋体" w:hAnsi="宋体" w:eastAsia="宋体" w:cs="宋体"/>
                <w:sz w:val="18"/>
                <w:szCs w:val="18"/>
              </w:rPr>
            </w:pPr>
            <w:r>
              <w:rPr>
                <w:rFonts w:ascii="宋体" w:hAnsi="宋体" w:eastAsia="宋体" w:cs="宋体"/>
                <w:sz w:val="18"/>
                <w:szCs w:val="18"/>
              </w:rPr>
              <w:t>公允价值变动收益（损失以“－”号填列）</w:t>
            </w:r>
          </w:p>
        </w:tc>
        <w:tc>
          <w:tcPr>
            <w:tcW w:w="1235" w:type="pct"/>
            <w:vAlign w:val="center"/>
          </w:tcPr>
          <w:p w14:paraId="00284464">
            <w:pPr>
              <w:spacing w:before="0" w:after="0" w:line="240" w:lineRule="exact"/>
              <w:jc w:val="right"/>
              <w:rPr>
                <w:rFonts w:ascii="宋体" w:hAnsi="宋体" w:eastAsia="宋体" w:cs="宋体"/>
                <w:sz w:val="18"/>
                <w:szCs w:val="18"/>
              </w:rPr>
            </w:pPr>
            <w:r>
              <w:rPr>
                <w:rFonts w:ascii="宋体" w:hAnsi="宋体" w:eastAsia="宋体" w:cs="宋体"/>
                <w:sz w:val="18"/>
                <w:szCs w:val="18"/>
              </w:rPr>
              <w:t>616,612.33</w:t>
            </w:r>
          </w:p>
        </w:tc>
        <w:tc>
          <w:tcPr>
            <w:tcW w:w="1080" w:type="pct"/>
            <w:vAlign w:val="center"/>
          </w:tcPr>
          <w:p w14:paraId="455F9D3E">
            <w:pPr>
              <w:spacing w:before="0" w:after="0" w:line="240" w:lineRule="exact"/>
              <w:jc w:val="right"/>
              <w:rPr>
                <w:rFonts w:ascii="宋体" w:hAnsi="宋体" w:eastAsia="宋体" w:cs="宋体"/>
                <w:sz w:val="18"/>
                <w:szCs w:val="18"/>
              </w:rPr>
            </w:pPr>
            <w:r>
              <w:rPr>
                <w:rFonts w:ascii="宋体" w:hAnsi="宋体" w:eastAsia="宋体" w:cs="宋体"/>
                <w:sz w:val="18"/>
                <w:szCs w:val="18"/>
              </w:rPr>
              <w:t>774,117.83</w:t>
            </w:r>
          </w:p>
        </w:tc>
      </w:tr>
      <w:tr w14:paraId="49DC4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683" w:type="pct"/>
            <w:shd w:val="clear" w:color="auto" w:fill="D3D3D3"/>
            <w:vAlign w:val="center"/>
          </w:tcPr>
          <w:p w14:paraId="30F3770D">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信用减值损失（损失以“-”号填列）</w:t>
            </w:r>
          </w:p>
        </w:tc>
        <w:tc>
          <w:tcPr>
            <w:tcW w:w="1235" w:type="pct"/>
            <w:vAlign w:val="center"/>
          </w:tcPr>
          <w:p w14:paraId="03EE2B02">
            <w:pPr>
              <w:spacing w:before="0" w:after="0" w:line="240" w:lineRule="exact"/>
              <w:jc w:val="right"/>
              <w:rPr>
                <w:rFonts w:ascii="宋体" w:hAnsi="宋体" w:eastAsia="宋体" w:cs="宋体"/>
                <w:sz w:val="18"/>
                <w:szCs w:val="18"/>
              </w:rPr>
            </w:pPr>
          </w:p>
        </w:tc>
        <w:tc>
          <w:tcPr>
            <w:tcW w:w="1080" w:type="pct"/>
            <w:vAlign w:val="center"/>
          </w:tcPr>
          <w:p w14:paraId="5D753699">
            <w:pPr>
              <w:spacing w:before="0" w:after="0" w:line="240" w:lineRule="exact"/>
              <w:jc w:val="right"/>
              <w:rPr>
                <w:rFonts w:ascii="宋体" w:hAnsi="宋体" w:eastAsia="宋体" w:cs="宋体"/>
                <w:sz w:val="18"/>
                <w:szCs w:val="18"/>
              </w:rPr>
            </w:pPr>
          </w:p>
        </w:tc>
      </w:tr>
      <w:tr w14:paraId="2C8FE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683" w:type="pct"/>
            <w:shd w:val="clear" w:color="auto" w:fill="D3D3D3"/>
            <w:vAlign w:val="center"/>
          </w:tcPr>
          <w:p w14:paraId="459CD270">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资产减值损失（损失以“-”号填列）</w:t>
            </w:r>
          </w:p>
        </w:tc>
        <w:tc>
          <w:tcPr>
            <w:tcW w:w="1235" w:type="pct"/>
            <w:vAlign w:val="center"/>
          </w:tcPr>
          <w:p w14:paraId="3466D237">
            <w:pPr>
              <w:spacing w:before="0" w:after="0" w:line="240" w:lineRule="exact"/>
              <w:jc w:val="right"/>
              <w:rPr>
                <w:rFonts w:ascii="宋体" w:hAnsi="宋体" w:eastAsia="宋体" w:cs="宋体"/>
                <w:sz w:val="18"/>
                <w:szCs w:val="18"/>
              </w:rPr>
            </w:pPr>
          </w:p>
        </w:tc>
        <w:tc>
          <w:tcPr>
            <w:tcW w:w="1080" w:type="pct"/>
            <w:vAlign w:val="center"/>
          </w:tcPr>
          <w:p w14:paraId="7F9C0E14">
            <w:pPr>
              <w:spacing w:before="0" w:after="0" w:line="240" w:lineRule="exact"/>
              <w:jc w:val="right"/>
              <w:rPr>
                <w:rFonts w:ascii="宋体" w:hAnsi="宋体" w:eastAsia="宋体" w:cs="宋体"/>
                <w:sz w:val="18"/>
                <w:szCs w:val="18"/>
              </w:rPr>
            </w:pPr>
          </w:p>
        </w:tc>
      </w:tr>
      <w:tr w14:paraId="2F55D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683" w:type="pct"/>
            <w:shd w:val="clear" w:color="auto" w:fill="D3D3D3"/>
            <w:vAlign w:val="center"/>
          </w:tcPr>
          <w:p w14:paraId="24E6A9B9">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资产处置收益（损失以“-”号填列）</w:t>
            </w:r>
          </w:p>
        </w:tc>
        <w:tc>
          <w:tcPr>
            <w:tcW w:w="1235" w:type="pct"/>
            <w:vAlign w:val="center"/>
          </w:tcPr>
          <w:p w14:paraId="760C1870">
            <w:pPr>
              <w:spacing w:before="0" w:after="0" w:line="240" w:lineRule="exact"/>
              <w:jc w:val="right"/>
              <w:rPr>
                <w:rFonts w:ascii="宋体" w:hAnsi="宋体" w:eastAsia="宋体" w:cs="宋体"/>
                <w:sz w:val="18"/>
                <w:szCs w:val="18"/>
              </w:rPr>
            </w:pPr>
            <w:r>
              <w:rPr>
                <w:rFonts w:ascii="宋体" w:hAnsi="宋体" w:eastAsia="宋体" w:cs="宋体"/>
                <w:sz w:val="18"/>
                <w:szCs w:val="18"/>
              </w:rPr>
              <w:t>44,323.77</w:t>
            </w:r>
          </w:p>
        </w:tc>
        <w:tc>
          <w:tcPr>
            <w:tcW w:w="1080" w:type="pct"/>
            <w:vAlign w:val="center"/>
          </w:tcPr>
          <w:p w14:paraId="7B1C9705">
            <w:pPr>
              <w:spacing w:before="0" w:after="0" w:line="240" w:lineRule="exact"/>
              <w:jc w:val="right"/>
              <w:rPr>
                <w:rFonts w:ascii="宋体" w:hAnsi="宋体" w:eastAsia="宋体" w:cs="宋体"/>
                <w:sz w:val="18"/>
                <w:szCs w:val="18"/>
              </w:rPr>
            </w:pPr>
          </w:p>
        </w:tc>
      </w:tr>
      <w:tr w14:paraId="7C28F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683" w:type="pct"/>
            <w:shd w:val="clear" w:color="auto" w:fill="D3D3D3"/>
            <w:vAlign w:val="center"/>
          </w:tcPr>
          <w:p w14:paraId="06E87E51">
            <w:pPr>
              <w:spacing w:before="0" w:after="0" w:line="240" w:lineRule="exact"/>
              <w:jc w:val="left"/>
              <w:rPr>
                <w:rFonts w:ascii="宋体" w:hAnsi="宋体" w:eastAsia="宋体" w:cs="宋体"/>
                <w:sz w:val="18"/>
                <w:szCs w:val="18"/>
              </w:rPr>
            </w:pPr>
            <w:r>
              <w:rPr>
                <w:rFonts w:ascii="宋体" w:hAnsi="宋体" w:eastAsia="宋体" w:cs="宋体"/>
                <w:sz w:val="18"/>
                <w:szCs w:val="18"/>
              </w:rPr>
              <w:t>三、营业利润（亏损以“－”号填列）</w:t>
            </w:r>
          </w:p>
        </w:tc>
        <w:tc>
          <w:tcPr>
            <w:tcW w:w="1235" w:type="pct"/>
            <w:vAlign w:val="center"/>
          </w:tcPr>
          <w:p w14:paraId="1C40BA38">
            <w:pPr>
              <w:spacing w:before="0" w:after="0" w:line="240" w:lineRule="exact"/>
              <w:jc w:val="right"/>
              <w:rPr>
                <w:rFonts w:ascii="宋体" w:hAnsi="宋体" w:eastAsia="宋体" w:cs="宋体"/>
                <w:sz w:val="18"/>
                <w:szCs w:val="18"/>
              </w:rPr>
            </w:pPr>
            <w:r>
              <w:rPr>
                <w:rFonts w:ascii="宋体" w:hAnsi="宋体" w:eastAsia="宋体" w:cs="宋体"/>
                <w:sz w:val="18"/>
                <w:szCs w:val="18"/>
              </w:rPr>
              <w:t>38,767,598.16</w:t>
            </w:r>
          </w:p>
        </w:tc>
        <w:tc>
          <w:tcPr>
            <w:tcW w:w="1080" w:type="pct"/>
            <w:vAlign w:val="center"/>
          </w:tcPr>
          <w:p w14:paraId="1819FCC9">
            <w:pPr>
              <w:spacing w:before="0" w:after="0" w:line="240" w:lineRule="exact"/>
              <w:jc w:val="right"/>
              <w:rPr>
                <w:rFonts w:ascii="宋体" w:hAnsi="宋体" w:eastAsia="宋体" w:cs="宋体"/>
                <w:sz w:val="18"/>
                <w:szCs w:val="18"/>
              </w:rPr>
            </w:pPr>
            <w:r>
              <w:rPr>
                <w:rFonts w:ascii="宋体" w:hAnsi="宋体" w:eastAsia="宋体" w:cs="宋体"/>
                <w:sz w:val="18"/>
                <w:szCs w:val="18"/>
              </w:rPr>
              <w:t>38,099,064.82</w:t>
            </w:r>
          </w:p>
        </w:tc>
      </w:tr>
      <w:tr w14:paraId="73E76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683" w:type="pct"/>
            <w:shd w:val="clear" w:color="auto" w:fill="D3D3D3"/>
            <w:vAlign w:val="center"/>
          </w:tcPr>
          <w:p w14:paraId="62B7D446">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加：营业外收入</w:t>
            </w:r>
          </w:p>
        </w:tc>
        <w:tc>
          <w:tcPr>
            <w:tcW w:w="1235" w:type="pct"/>
            <w:vAlign w:val="center"/>
          </w:tcPr>
          <w:p w14:paraId="1D43E2D2">
            <w:pPr>
              <w:spacing w:before="0" w:after="0" w:line="240" w:lineRule="exact"/>
              <w:jc w:val="right"/>
              <w:rPr>
                <w:rFonts w:ascii="宋体" w:hAnsi="宋体" w:eastAsia="宋体" w:cs="宋体"/>
                <w:sz w:val="18"/>
                <w:szCs w:val="18"/>
              </w:rPr>
            </w:pPr>
          </w:p>
        </w:tc>
        <w:tc>
          <w:tcPr>
            <w:tcW w:w="1080" w:type="pct"/>
            <w:vAlign w:val="center"/>
          </w:tcPr>
          <w:p w14:paraId="7DA0C9AD">
            <w:pPr>
              <w:spacing w:before="0" w:after="0" w:line="240" w:lineRule="exact"/>
              <w:jc w:val="right"/>
              <w:rPr>
                <w:rFonts w:ascii="宋体" w:hAnsi="宋体" w:eastAsia="宋体" w:cs="宋体"/>
                <w:sz w:val="18"/>
                <w:szCs w:val="18"/>
              </w:rPr>
            </w:pPr>
            <w:r>
              <w:rPr>
                <w:rFonts w:ascii="宋体" w:hAnsi="宋体" w:eastAsia="宋体" w:cs="宋体"/>
                <w:sz w:val="18"/>
                <w:szCs w:val="18"/>
              </w:rPr>
              <w:t>4,716.81</w:t>
            </w:r>
          </w:p>
        </w:tc>
      </w:tr>
      <w:tr w14:paraId="68E14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683" w:type="pct"/>
            <w:shd w:val="clear" w:color="auto" w:fill="D3D3D3"/>
            <w:vAlign w:val="center"/>
          </w:tcPr>
          <w:p w14:paraId="04161E7A">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减：营业外支出</w:t>
            </w:r>
          </w:p>
        </w:tc>
        <w:tc>
          <w:tcPr>
            <w:tcW w:w="1235" w:type="pct"/>
            <w:vAlign w:val="center"/>
          </w:tcPr>
          <w:p w14:paraId="4854D3B1">
            <w:pPr>
              <w:spacing w:before="0" w:after="0" w:line="240" w:lineRule="exact"/>
              <w:jc w:val="right"/>
              <w:rPr>
                <w:rFonts w:ascii="宋体" w:hAnsi="宋体" w:eastAsia="宋体" w:cs="宋体"/>
                <w:sz w:val="18"/>
                <w:szCs w:val="18"/>
              </w:rPr>
            </w:pPr>
            <w:r>
              <w:rPr>
                <w:rFonts w:ascii="宋体" w:hAnsi="宋体" w:eastAsia="宋体" w:cs="宋体"/>
                <w:sz w:val="18"/>
                <w:szCs w:val="18"/>
              </w:rPr>
              <w:t>62,204.50</w:t>
            </w:r>
          </w:p>
        </w:tc>
        <w:tc>
          <w:tcPr>
            <w:tcW w:w="1080" w:type="pct"/>
            <w:vAlign w:val="center"/>
          </w:tcPr>
          <w:p w14:paraId="45A9175B">
            <w:pPr>
              <w:spacing w:before="0" w:after="0" w:line="240" w:lineRule="exact"/>
              <w:jc w:val="right"/>
              <w:rPr>
                <w:rFonts w:ascii="宋体" w:hAnsi="宋体" w:eastAsia="宋体" w:cs="宋体"/>
                <w:sz w:val="18"/>
                <w:szCs w:val="18"/>
              </w:rPr>
            </w:pPr>
          </w:p>
        </w:tc>
      </w:tr>
      <w:tr w14:paraId="07AF3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683" w:type="pct"/>
            <w:shd w:val="clear" w:color="auto" w:fill="D3D3D3"/>
            <w:vAlign w:val="center"/>
          </w:tcPr>
          <w:p w14:paraId="6CB374F5">
            <w:pPr>
              <w:spacing w:before="0" w:after="0" w:line="240" w:lineRule="exact"/>
              <w:jc w:val="left"/>
              <w:rPr>
                <w:rFonts w:ascii="宋体" w:hAnsi="宋体" w:eastAsia="宋体" w:cs="宋体"/>
                <w:sz w:val="18"/>
                <w:szCs w:val="18"/>
              </w:rPr>
            </w:pPr>
            <w:r>
              <w:rPr>
                <w:rFonts w:ascii="宋体" w:hAnsi="宋体" w:eastAsia="宋体" w:cs="宋体"/>
                <w:sz w:val="18"/>
                <w:szCs w:val="18"/>
              </w:rPr>
              <w:t>四、利润总额（亏损总额以“－”号填列）</w:t>
            </w:r>
          </w:p>
        </w:tc>
        <w:tc>
          <w:tcPr>
            <w:tcW w:w="1235" w:type="pct"/>
            <w:vAlign w:val="center"/>
          </w:tcPr>
          <w:p w14:paraId="2CD7D1D4">
            <w:pPr>
              <w:spacing w:before="0" w:after="0" w:line="240" w:lineRule="exact"/>
              <w:jc w:val="right"/>
              <w:rPr>
                <w:rFonts w:ascii="宋体" w:hAnsi="宋体" w:eastAsia="宋体" w:cs="宋体"/>
                <w:sz w:val="18"/>
                <w:szCs w:val="18"/>
              </w:rPr>
            </w:pPr>
            <w:r>
              <w:rPr>
                <w:rFonts w:ascii="宋体" w:hAnsi="宋体" w:eastAsia="宋体" w:cs="宋体"/>
                <w:sz w:val="18"/>
                <w:szCs w:val="18"/>
              </w:rPr>
              <w:t>38,705,393.66</w:t>
            </w:r>
          </w:p>
        </w:tc>
        <w:tc>
          <w:tcPr>
            <w:tcW w:w="1080" w:type="pct"/>
            <w:vAlign w:val="center"/>
          </w:tcPr>
          <w:p w14:paraId="4897E499">
            <w:pPr>
              <w:spacing w:before="0" w:after="0" w:line="240" w:lineRule="exact"/>
              <w:jc w:val="right"/>
              <w:rPr>
                <w:rFonts w:ascii="宋体" w:hAnsi="宋体" w:eastAsia="宋体" w:cs="宋体"/>
                <w:sz w:val="18"/>
                <w:szCs w:val="18"/>
              </w:rPr>
            </w:pPr>
            <w:r>
              <w:rPr>
                <w:rFonts w:ascii="宋体" w:hAnsi="宋体" w:eastAsia="宋体" w:cs="宋体"/>
                <w:sz w:val="18"/>
                <w:szCs w:val="18"/>
              </w:rPr>
              <w:t>38,103,781.63</w:t>
            </w:r>
          </w:p>
        </w:tc>
      </w:tr>
      <w:tr w14:paraId="0FF56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683" w:type="pct"/>
            <w:shd w:val="clear" w:color="auto" w:fill="D3D3D3"/>
            <w:vAlign w:val="center"/>
          </w:tcPr>
          <w:p w14:paraId="5C8E0C89">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减：所得税费用</w:t>
            </w:r>
          </w:p>
        </w:tc>
        <w:tc>
          <w:tcPr>
            <w:tcW w:w="1235" w:type="pct"/>
            <w:vAlign w:val="center"/>
          </w:tcPr>
          <w:p w14:paraId="7E00E2D2">
            <w:pPr>
              <w:spacing w:before="0" w:after="0" w:line="240" w:lineRule="exact"/>
              <w:jc w:val="right"/>
              <w:rPr>
                <w:rFonts w:ascii="宋体" w:hAnsi="宋体" w:eastAsia="宋体" w:cs="宋体"/>
                <w:sz w:val="18"/>
                <w:szCs w:val="18"/>
              </w:rPr>
            </w:pPr>
            <w:r>
              <w:rPr>
                <w:rFonts w:ascii="宋体" w:hAnsi="宋体" w:eastAsia="宋体" w:cs="宋体"/>
                <w:sz w:val="18"/>
                <w:szCs w:val="18"/>
              </w:rPr>
              <w:t>8,962,039.36</w:t>
            </w:r>
          </w:p>
        </w:tc>
        <w:tc>
          <w:tcPr>
            <w:tcW w:w="1080" w:type="pct"/>
            <w:vAlign w:val="center"/>
          </w:tcPr>
          <w:p w14:paraId="08F67F81">
            <w:pPr>
              <w:spacing w:before="0" w:after="0" w:line="240" w:lineRule="exact"/>
              <w:jc w:val="right"/>
              <w:rPr>
                <w:rFonts w:ascii="宋体" w:hAnsi="宋体" w:eastAsia="宋体" w:cs="宋体"/>
                <w:sz w:val="18"/>
                <w:szCs w:val="18"/>
              </w:rPr>
            </w:pPr>
            <w:r>
              <w:rPr>
                <w:rFonts w:ascii="宋体" w:hAnsi="宋体" w:eastAsia="宋体" w:cs="宋体"/>
                <w:sz w:val="18"/>
                <w:szCs w:val="18"/>
              </w:rPr>
              <w:t>9,439,636.48</w:t>
            </w:r>
          </w:p>
        </w:tc>
      </w:tr>
      <w:tr w14:paraId="567AF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683" w:type="pct"/>
            <w:shd w:val="clear" w:color="auto" w:fill="D3D3D3"/>
            <w:vAlign w:val="center"/>
          </w:tcPr>
          <w:p w14:paraId="7F7A4161">
            <w:pPr>
              <w:spacing w:before="0" w:after="0" w:line="240" w:lineRule="exact"/>
              <w:jc w:val="left"/>
              <w:rPr>
                <w:rFonts w:ascii="宋体" w:hAnsi="宋体" w:eastAsia="宋体" w:cs="宋体"/>
                <w:sz w:val="18"/>
                <w:szCs w:val="18"/>
              </w:rPr>
            </w:pPr>
            <w:r>
              <w:rPr>
                <w:rFonts w:ascii="宋体" w:hAnsi="宋体" w:eastAsia="宋体" w:cs="宋体"/>
                <w:sz w:val="18"/>
                <w:szCs w:val="18"/>
              </w:rPr>
              <w:t>五、净利润（净亏损以“－”号填列）</w:t>
            </w:r>
          </w:p>
        </w:tc>
        <w:tc>
          <w:tcPr>
            <w:tcW w:w="1235" w:type="pct"/>
            <w:vAlign w:val="center"/>
          </w:tcPr>
          <w:p w14:paraId="46AAD1FB">
            <w:pPr>
              <w:spacing w:before="0" w:after="0" w:line="240" w:lineRule="exact"/>
              <w:jc w:val="right"/>
              <w:rPr>
                <w:rFonts w:ascii="宋体" w:hAnsi="宋体" w:eastAsia="宋体" w:cs="宋体"/>
                <w:sz w:val="18"/>
                <w:szCs w:val="18"/>
              </w:rPr>
            </w:pPr>
            <w:r>
              <w:rPr>
                <w:rFonts w:ascii="宋体" w:hAnsi="宋体" w:eastAsia="宋体" w:cs="宋体"/>
                <w:sz w:val="18"/>
                <w:szCs w:val="18"/>
              </w:rPr>
              <w:t>29,743,354.30</w:t>
            </w:r>
          </w:p>
        </w:tc>
        <w:tc>
          <w:tcPr>
            <w:tcW w:w="1080" w:type="pct"/>
            <w:vAlign w:val="center"/>
          </w:tcPr>
          <w:p w14:paraId="248F0CB8">
            <w:pPr>
              <w:spacing w:before="0" w:after="0" w:line="240" w:lineRule="exact"/>
              <w:jc w:val="right"/>
              <w:rPr>
                <w:rFonts w:ascii="宋体" w:hAnsi="宋体" w:eastAsia="宋体" w:cs="宋体"/>
                <w:sz w:val="18"/>
                <w:szCs w:val="18"/>
              </w:rPr>
            </w:pPr>
            <w:r>
              <w:rPr>
                <w:rFonts w:ascii="宋体" w:hAnsi="宋体" w:eastAsia="宋体" w:cs="宋体"/>
                <w:sz w:val="18"/>
                <w:szCs w:val="18"/>
              </w:rPr>
              <w:t>28,664,145.15</w:t>
            </w:r>
          </w:p>
        </w:tc>
      </w:tr>
      <w:tr w14:paraId="63E31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683" w:type="pct"/>
            <w:shd w:val="clear" w:color="auto" w:fill="D3D3D3"/>
            <w:vAlign w:val="center"/>
          </w:tcPr>
          <w:p w14:paraId="20ECD54B">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（一）按经营持续性分类</w:t>
            </w:r>
          </w:p>
        </w:tc>
        <w:tc>
          <w:tcPr>
            <w:tcW w:w="1235" w:type="pct"/>
            <w:shd w:val="clear" w:color="auto" w:fill="D3D3D3"/>
            <w:vAlign w:val="center"/>
          </w:tcPr>
          <w:p w14:paraId="66E2CF77"/>
        </w:tc>
        <w:tc>
          <w:tcPr>
            <w:tcW w:w="1080" w:type="pct"/>
            <w:shd w:val="clear" w:color="auto" w:fill="D3D3D3"/>
            <w:vAlign w:val="center"/>
          </w:tcPr>
          <w:p w14:paraId="064C9740"/>
        </w:tc>
      </w:tr>
      <w:tr w14:paraId="4BCA3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683" w:type="pct"/>
            <w:shd w:val="clear" w:color="auto" w:fill="D3D3D3"/>
            <w:vAlign w:val="center"/>
          </w:tcPr>
          <w:p w14:paraId="315CD5F2">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1.持续经营净利润（净亏损以“－”号填列）</w:t>
            </w:r>
          </w:p>
        </w:tc>
        <w:tc>
          <w:tcPr>
            <w:tcW w:w="1235" w:type="pct"/>
            <w:vAlign w:val="center"/>
          </w:tcPr>
          <w:p w14:paraId="7F5EE1D6">
            <w:pPr>
              <w:spacing w:before="0" w:after="0" w:line="240" w:lineRule="exact"/>
              <w:jc w:val="right"/>
              <w:rPr>
                <w:rFonts w:ascii="宋体" w:hAnsi="宋体" w:eastAsia="宋体" w:cs="宋体"/>
                <w:sz w:val="18"/>
                <w:szCs w:val="18"/>
              </w:rPr>
            </w:pPr>
            <w:r>
              <w:rPr>
                <w:rFonts w:ascii="宋体" w:hAnsi="宋体" w:eastAsia="宋体" w:cs="宋体"/>
                <w:sz w:val="18"/>
                <w:szCs w:val="18"/>
              </w:rPr>
              <w:t>29,743,354.30</w:t>
            </w:r>
          </w:p>
        </w:tc>
        <w:tc>
          <w:tcPr>
            <w:tcW w:w="1080" w:type="pct"/>
            <w:vAlign w:val="center"/>
          </w:tcPr>
          <w:p w14:paraId="26DEF279">
            <w:pPr>
              <w:spacing w:before="0" w:after="0" w:line="240" w:lineRule="exact"/>
              <w:jc w:val="right"/>
              <w:rPr>
                <w:rFonts w:ascii="宋体" w:hAnsi="宋体" w:eastAsia="宋体" w:cs="宋体"/>
                <w:sz w:val="18"/>
                <w:szCs w:val="18"/>
              </w:rPr>
            </w:pPr>
            <w:r>
              <w:rPr>
                <w:rFonts w:ascii="宋体" w:hAnsi="宋体" w:eastAsia="宋体" w:cs="宋体"/>
                <w:sz w:val="18"/>
                <w:szCs w:val="18"/>
              </w:rPr>
              <w:t>28,664,145.15</w:t>
            </w:r>
          </w:p>
        </w:tc>
      </w:tr>
      <w:tr w14:paraId="57415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683" w:type="pct"/>
            <w:shd w:val="clear" w:color="auto" w:fill="D3D3D3"/>
            <w:vAlign w:val="center"/>
          </w:tcPr>
          <w:p w14:paraId="5313E247">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2.终止经营净利润（净亏损以“－”号填列）</w:t>
            </w:r>
          </w:p>
        </w:tc>
        <w:tc>
          <w:tcPr>
            <w:tcW w:w="1235" w:type="pct"/>
            <w:vAlign w:val="center"/>
          </w:tcPr>
          <w:p w14:paraId="5F80892C">
            <w:pPr>
              <w:spacing w:before="0" w:after="0" w:line="240" w:lineRule="exact"/>
              <w:jc w:val="right"/>
              <w:rPr>
                <w:rFonts w:ascii="宋体" w:hAnsi="宋体" w:eastAsia="宋体" w:cs="宋体"/>
                <w:sz w:val="18"/>
                <w:szCs w:val="18"/>
              </w:rPr>
            </w:pPr>
          </w:p>
        </w:tc>
        <w:tc>
          <w:tcPr>
            <w:tcW w:w="1080" w:type="pct"/>
            <w:vAlign w:val="center"/>
          </w:tcPr>
          <w:p w14:paraId="620893DC">
            <w:pPr>
              <w:spacing w:before="0" w:after="0" w:line="240" w:lineRule="exact"/>
              <w:jc w:val="right"/>
              <w:rPr>
                <w:rFonts w:ascii="宋体" w:hAnsi="宋体" w:eastAsia="宋体" w:cs="宋体"/>
                <w:sz w:val="18"/>
                <w:szCs w:val="18"/>
              </w:rPr>
            </w:pPr>
          </w:p>
        </w:tc>
      </w:tr>
      <w:tr w14:paraId="1DBF5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683" w:type="pct"/>
            <w:shd w:val="clear" w:color="auto" w:fill="D3D3D3"/>
            <w:vAlign w:val="center"/>
          </w:tcPr>
          <w:p w14:paraId="7BBA3EB7">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（二）按所有权归属分类</w:t>
            </w:r>
          </w:p>
        </w:tc>
        <w:tc>
          <w:tcPr>
            <w:tcW w:w="1235" w:type="pct"/>
            <w:shd w:val="clear" w:color="auto" w:fill="D3D3D3"/>
            <w:vAlign w:val="center"/>
          </w:tcPr>
          <w:p w14:paraId="6FC9294E"/>
        </w:tc>
        <w:tc>
          <w:tcPr>
            <w:tcW w:w="1080" w:type="pct"/>
            <w:shd w:val="clear" w:color="auto" w:fill="D3D3D3"/>
            <w:vAlign w:val="center"/>
          </w:tcPr>
          <w:p w14:paraId="05874BB1"/>
        </w:tc>
      </w:tr>
      <w:tr w14:paraId="1C516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683" w:type="pct"/>
            <w:shd w:val="clear" w:color="auto" w:fill="D3D3D3"/>
            <w:vAlign w:val="center"/>
          </w:tcPr>
          <w:p w14:paraId="02181A97">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1.归属于母公司所有者的净利润</w:t>
            </w:r>
          </w:p>
        </w:tc>
        <w:tc>
          <w:tcPr>
            <w:tcW w:w="1235" w:type="pct"/>
            <w:vAlign w:val="center"/>
          </w:tcPr>
          <w:p w14:paraId="0445222E">
            <w:pPr>
              <w:spacing w:before="0" w:after="0" w:line="240" w:lineRule="exact"/>
              <w:jc w:val="right"/>
              <w:rPr>
                <w:rFonts w:ascii="宋体" w:hAnsi="宋体" w:eastAsia="宋体" w:cs="宋体"/>
                <w:sz w:val="18"/>
                <w:szCs w:val="18"/>
              </w:rPr>
            </w:pPr>
            <w:r>
              <w:rPr>
                <w:rFonts w:ascii="宋体" w:hAnsi="宋体" w:eastAsia="宋体" w:cs="宋体"/>
                <w:sz w:val="18"/>
                <w:szCs w:val="18"/>
              </w:rPr>
              <w:t>29,743,354.30</w:t>
            </w:r>
          </w:p>
        </w:tc>
        <w:tc>
          <w:tcPr>
            <w:tcW w:w="1080" w:type="pct"/>
            <w:vAlign w:val="center"/>
          </w:tcPr>
          <w:p w14:paraId="2F79D824">
            <w:pPr>
              <w:spacing w:before="0" w:after="0" w:line="240" w:lineRule="exact"/>
              <w:jc w:val="right"/>
              <w:rPr>
                <w:rFonts w:ascii="宋体" w:hAnsi="宋体" w:eastAsia="宋体" w:cs="宋体"/>
                <w:sz w:val="18"/>
                <w:szCs w:val="18"/>
              </w:rPr>
            </w:pPr>
            <w:r>
              <w:rPr>
                <w:rFonts w:ascii="宋体" w:hAnsi="宋体" w:eastAsia="宋体" w:cs="宋体"/>
                <w:sz w:val="18"/>
                <w:szCs w:val="18"/>
              </w:rPr>
              <w:t>28,664,145.15</w:t>
            </w:r>
          </w:p>
        </w:tc>
      </w:tr>
      <w:tr w14:paraId="614BB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683" w:type="pct"/>
            <w:shd w:val="clear" w:color="auto" w:fill="D3D3D3"/>
            <w:vAlign w:val="center"/>
          </w:tcPr>
          <w:p w14:paraId="7BA57FD3">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2.少数股东损益</w:t>
            </w:r>
          </w:p>
        </w:tc>
        <w:tc>
          <w:tcPr>
            <w:tcW w:w="1235" w:type="pct"/>
            <w:vAlign w:val="center"/>
          </w:tcPr>
          <w:p w14:paraId="26D22C0C">
            <w:pPr>
              <w:spacing w:before="0" w:after="0" w:line="240" w:lineRule="exact"/>
              <w:jc w:val="right"/>
              <w:rPr>
                <w:rFonts w:ascii="宋体" w:hAnsi="宋体" w:eastAsia="宋体" w:cs="宋体"/>
                <w:sz w:val="18"/>
                <w:szCs w:val="18"/>
              </w:rPr>
            </w:pPr>
          </w:p>
        </w:tc>
        <w:tc>
          <w:tcPr>
            <w:tcW w:w="1080" w:type="pct"/>
            <w:vAlign w:val="center"/>
          </w:tcPr>
          <w:p w14:paraId="20A23D0E">
            <w:pPr>
              <w:spacing w:before="0" w:after="0" w:line="240" w:lineRule="exact"/>
              <w:jc w:val="right"/>
              <w:rPr>
                <w:rFonts w:ascii="宋体" w:hAnsi="宋体" w:eastAsia="宋体" w:cs="宋体"/>
                <w:sz w:val="18"/>
                <w:szCs w:val="18"/>
              </w:rPr>
            </w:pPr>
          </w:p>
        </w:tc>
      </w:tr>
      <w:tr w14:paraId="191D7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683" w:type="pct"/>
            <w:shd w:val="clear" w:color="auto" w:fill="D3D3D3"/>
            <w:vAlign w:val="center"/>
          </w:tcPr>
          <w:p w14:paraId="72A93A1B">
            <w:pPr>
              <w:spacing w:before="0" w:after="0" w:line="240" w:lineRule="exact"/>
              <w:jc w:val="left"/>
              <w:rPr>
                <w:rFonts w:ascii="宋体" w:hAnsi="宋体" w:eastAsia="宋体" w:cs="宋体"/>
                <w:sz w:val="18"/>
                <w:szCs w:val="18"/>
              </w:rPr>
            </w:pPr>
            <w:r>
              <w:rPr>
                <w:rFonts w:ascii="宋体" w:hAnsi="宋体" w:eastAsia="宋体" w:cs="宋体"/>
                <w:sz w:val="18"/>
                <w:szCs w:val="18"/>
              </w:rPr>
              <w:t>六、其他综合收益的税后净额</w:t>
            </w:r>
          </w:p>
        </w:tc>
        <w:tc>
          <w:tcPr>
            <w:tcW w:w="1235" w:type="pct"/>
            <w:vAlign w:val="center"/>
          </w:tcPr>
          <w:p w14:paraId="18C2ACC3">
            <w:pPr>
              <w:spacing w:before="0" w:after="0" w:line="240" w:lineRule="exact"/>
              <w:jc w:val="right"/>
              <w:rPr>
                <w:rFonts w:ascii="宋体" w:hAnsi="宋体" w:eastAsia="宋体" w:cs="宋体"/>
                <w:sz w:val="18"/>
                <w:szCs w:val="18"/>
              </w:rPr>
            </w:pPr>
          </w:p>
        </w:tc>
        <w:tc>
          <w:tcPr>
            <w:tcW w:w="1080" w:type="pct"/>
            <w:vAlign w:val="center"/>
          </w:tcPr>
          <w:p w14:paraId="2E20C7F5">
            <w:pPr>
              <w:spacing w:before="0" w:after="0" w:line="240" w:lineRule="exact"/>
              <w:jc w:val="right"/>
              <w:rPr>
                <w:rFonts w:ascii="宋体" w:hAnsi="宋体" w:eastAsia="宋体" w:cs="宋体"/>
                <w:sz w:val="18"/>
                <w:szCs w:val="18"/>
              </w:rPr>
            </w:pPr>
          </w:p>
        </w:tc>
      </w:tr>
      <w:tr w14:paraId="33056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683" w:type="pct"/>
            <w:shd w:val="clear" w:color="auto" w:fill="D3D3D3"/>
            <w:vAlign w:val="center"/>
          </w:tcPr>
          <w:p w14:paraId="0C15D3C1">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归属母公司所有者的其他综合收益的税后净额</w:t>
            </w:r>
          </w:p>
        </w:tc>
        <w:tc>
          <w:tcPr>
            <w:tcW w:w="1235" w:type="pct"/>
            <w:vAlign w:val="center"/>
          </w:tcPr>
          <w:p w14:paraId="799BEC9A">
            <w:pPr>
              <w:spacing w:before="0" w:after="0" w:line="240" w:lineRule="exact"/>
              <w:jc w:val="right"/>
              <w:rPr>
                <w:rFonts w:ascii="宋体" w:hAnsi="宋体" w:eastAsia="宋体" w:cs="宋体"/>
                <w:sz w:val="18"/>
                <w:szCs w:val="18"/>
              </w:rPr>
            </w:pPr>
          </w:p>
        </w:tc>
        <w:tc>
          <w:tcPr>
            <w:tcW w:w="1080" w:type="pct"/>
            <w:vAlign w:val="center"/>
          </w:tcPr>
          <w:p w14:paraId="4754FAD5">
            <w:pPr>
              <w:spacing w:before="0" w:after="0" w:line="240" w:lineRule="exact"/>
              <w:jc w:val="right"/>
              <w:rPr>
                <w:rFonts w:ascii="宋体" w:hAnsi="宋体" w:eastAsia="宋体" w:cs="宋体"/>
                <w:sz w:val="18"/>
                <w:szCs w:val="18"/>
              </w:rPr>
            </w:pPr>
          </w:p>
        </w:tc>
      </w:tr>
      <w:tr w14:paraId="32C58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683" w:type="pct"/>
            <w:shd w:val="clear" w:color="auto" w:fill="D3D3D3"/>
            <w:vAlign w:val="center"/>
          </w:tcPr>
          <w:p w14:paraId="364AD08C">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（一）不能重分类进损益的其他综合收益</w:t>
            </w:r>
          </w:p>
        </w:tc>
        <w:tc>
          <w:tcPr>
            <w:tcW w:w="1235" w:type="pct"/>
            <w:vAlign w:val="center"/>
          </w:tcPr>
          <w:p w14:paraId="4F3487AE">
            <w:pPr>
              <w:spacing w:before="0" w:after="0" w:line="240" w:lineRule="exact"/>
              <w:jc w:val="right"/>
              <w:rPr>
                <w:rFonts w:ascii="宋体" w:hAnsi="宋体" w:eastAsia="宋体" w:cs="宋体"/>
                <w:sz w:val="18"/>
                <w:szCs w:val="18"/>
              </w:rPr>
            </w:pPr>
          </w:p>
        </w:tc>
        <w:tc>
          <w:tcPr>
            <w:tcW w:w="1080" w:type="pct"/>
            <w:vAlign w:val="center"/>
          </w:tcPr>
          <w:p w14:paraId="3B4216BC">
            <w:pPr>
              <w:spacing w:before="0" w:after="0" w:line="240" w:lineRule="exact"/>
              <w:jc w:val="right"/>
              <w:rPr>
                <w:rFonts w:ascii="宋体" w:hAnsi="宋体" w:eastAsia="宋体" w:cs="宋体"/>
                <w:sz w:val="18"/>
                <w:szCs w:val="18"/>
              </w:rPr>
            </w:pPr>
          </w:p>
        </w:tc>
      </w:tr>
      <w:tr w14:paraId="2E223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683" w:type="pct"/>
            <w:shd w:val="clear" w:color="auto" w:fill="D3D3D3"/>
            <w:vAlign w:val="center"/>
          </w:tcPr>
          <w:p w14:paraId="04E7D9C1">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1.重新计量设定受益计划变动额</w:t>
            </w:r>
          </w:p>
        </w:tc>
        <w:tc>
          <w:tcPr>
            <w:tcW w:w="1235" w:type="pct"/>
            <w:vAlign w:val="center"/>
          </w:tcPr>
          <w:p w14:paraId="0721FAA8">
            <w:pPr>
              <w:spacing w:before="0" w:after="0" w:line="240" w:lineRule="exact"/>
              <w:jc w:val="right"/>
              <w:rPr>
                <w:rFonts w:ascii="宋体" w:hAnsi="宋体" w:eastAsia="宋体" w:cs="宋体"/>
                <w:sz w:val="18"/>
                <w:szCs w:val="18"/>
              </w:rPr>
            </w:pPr>
          </w:p>
        </w:tc>
        <w:tc>
          <w:tcPr>
            <w:tcW w:w="1080" w:type="pct"/>
            <w:vAlign w:val="center"/>
          </w:tcPr>
          <w:p w14:paraId="20CC65B0">
            <w:pPr>
              <w:spacing w:before="0" w:after="0" w:line="240" w:lineRule="exact"/>
              <w:jc w:val="right"/>
              <w:rPr>
                <w:rFonts w:ascii="宋体" w:hAnsi="宋体" w:eastAsia="宋体" w:cs="宋体"/>
                <w:sz w:val="18"/>
                <w:szCs w:val="18"/>
              </w:rPr>
            </w:pPr>
          </w:p>
        </w:tc>
      </w:tr>
      <w:tr w14:paraId="1AEF5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683" w:type="pct"/>
            <w:shd w:val="clear" w:color="auto" w:fill="D3D3D3"/>
            <w:vAlign w:val="center"/>
          </w:tcPr>
          <w:p w14:paraId="35B89C69">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2.权益法下不能转损益的其他综合收益</w:t>
            </w:r>
          </w:p>
        </w:tc>
        <w:tc>
          <w:tcPr>
            <w:tcW w:w="1235" w:type="pct"/>
            <w:vAlign w:val="center"/>
          </w:tcPr>
          <w:p w14:paraId="31308502">
            <w:pPr>
              <w:spacing w:before="0" w:after="0" w:line="240" w:lineRule="exact"/>
              <w:jc w:val="right"/>
              <w:rPr>
                <w:rFonts w:ascii="宋体" w:hAnsi="宋体" w:eastAsia="宋体" w:cs="宋体"/>
                <w:sz w:val="18"/>
                <w:szCs w:val="18"/>
              </w:rPr>
            </w:pPr>
          </w:p>
        </w:tc>
        <w:tc>
          <w:tcPr>
            <w:tcW w:w="1080" w:type="pct"/>
            <w:vAlign w:val="center"/>
          </w:tcPr>
          <w:p w14:paraId="7E3BA729">
            <w:pPr>
              <w:spacing w:before="0" w:after="0" w:line="240" w:lineRule="exact"/>
              <w:jc w:val="right"/>
              <w:rPr>
                <w:rFonts w:ascii="宋体" w:hAnsi="宋体" w:eastAsia="宋体" w:cs="宋体"/>
                <w:sz w:val="18"/>
                <w:szCs w:val="18"/>
              </w:rPr>
            </w:pPr>
          </w:p>
        </w:tc>
      </w:tr>
      <w:tr w14:paraId="316E5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683" w:type="pct"/>
            <w:shd w:val="clear" w:color="auto" w:fill="D3D3D3"/>
            <w:vAlign w:val="center"/>
          </w:tcPr>
          <w:p w14:paraId="71CCA270">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3.其他权益工具投资公允价值变动</w:t>
            </w:r>
          </w:p>
        </w:tc>
        <w:tc>
          <w:tcPr>
            <w:tcW w:w="1235" w:type="pct"/>
            <w:vAlign w:val="center"/>
          </w:tcPr>
          <w:p w14:paraId="1226045F">
            <w:pPr>
              <w:spacing w:before="0" w:after="0" w:line="240" w:lineRule="exact"/>
              <w:jc w:val="right"/>
              <w:rPr>
                <w:rFonts w:ascii="宋体" w:hAnsi="宋体" w:eastAsia="宋体" w:cs="宋体"/>
                <w:sz w:val="18"/>
                <w:szCs w:val="18"/>
              </w:rPr>
            </w:pPr>
          </w:p>
        </w:tc>
        <w:tc>
          <w:tcPr>
            <w:tcW w:w="1080" w:type="pct"/>
            <w:vAlign w:val="center"/>
          </w:tcPr>
          <w:p w14:paraId="499248F2">
            <w:pPr>
              <w:spacing w:before="0" w:after="0" w:line="240" w:lineRule="exact"/>
              <w:jc w:val="right"/>
              <w:rPr>
                <w:rFonts w:ascii="宋体" w:hAnsi="宋体" w:eastAsia="宋体" w:cs="宋体"/>
                <w:sz w:val="18"/>
                <w:szCs w:val="18"/>
              </w:rPr>
            </w:pPr>
          </w:p>
        </w:tc>
      </w:tr>
      <w:tr w14:paraId="79E93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683" w:type="pct"/>
            <w:shd w:val="clear" w:color="auto" w:fill="D3D3D3"/>
            <w:vAlign w:val="center"/>
          </w:tcPr>
          <w:p w14:paraId="0C619AD7">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4.企业自身信用风险公允价值变动</w:t>
            </w:r>
          </w:p>
        </w:tc>
        <w:tc>
          <w:tcPr>
            <w:tcW w:w="1235" w:type="pct"/>
            <w:vAlign w:val="center"/>
          </w:tcPr>
          <w:p w14:paraId="154C1CF3">
            <w:pPr>
              <w:spacing w:before="0" w:after="0" w:line="240" w:lineRule="exact"/>
              <w:jc w:val="right"/>
              <w:rPr>
                <w:rFonts w:ascii="宋体" w:hAnsi="宋体" w:eastAsia="宋体" w:cs="宋体"/>
                <w:sz w:val="18"/>
                <w:szCs w:val="18"/>
              </w:rPr>
            </w:pPr>
          </w:p>
        </w:tc>
        <w:tc>
          <w:tcPr>
            <w:tcW w:w="1080" w:type="pct"/>
            <w:vAlign w:val="center"/>
          </w:tcPr>
          <w:p w14:paraId="3E336BBB">
            <w:pPr>
              <w:spacing w:before="0" w:after="0" w:line="240" w:lineRule="exact"/>
              <w:jc w:val="right"/>
              <w:rPr>
                <w:rFonts w:ascii="宋体" w:hAnsi="宋体" w:eastAsia="宋体" w:cs="宋体"/>
                <w:sz w:val="18"/>
                <w:szCs w:val="18"/>
              </w:rPr>
            </w:pPr>
          </w:p>
        </w:tc>
      </w:tr>
      <w:tr w14:paraId="1B7C0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683" w:type="pct"/>
            <w:shd w:val="clear" w:color="auto" w:fill="D3D3D3"/>
            <w:vAlign w:val="center"/>
          </w:tcPr>
          <w:p w14:paraId="7B2E0231">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5.其他</w:t>
            </w:r>
          </w:p>
        </w:tc>
        <w:tc>
          <w:tcPr>
            <w:tcW w:w="1235" w:type="pct"/>
            <w:vAlign w:val="center"/>
          </w:tcPr>
          <w:p w14:paraId="05C20AED">
            <w:pPr>
              <w:spacing w:before="0" w:after="0" w:line="240" w:lineRule="exact"/>
              <w:jc w:val="right"/>
              <w:rPr>
                <w:rFonts w:ascii="宋体" w:hAnsi="宋体" w:eastAsia="宋体" w:cs="宋体"/>
                <w:sz w:val="18"/>
                <w:szCs w:val="18"/>
              </w:rPr>
            </w:pPr>
          </w:p>
        </w:tc>
        <w:tc>
          <w:tcPr>
            <w:tcW w:w="1080" w:type="pct"/>
            <w:vAlign w:val="center"/>
          </w:tcPr>
          <w:p w14:paraId="10D5AFF7">
            <w:pPr>
              <w:spacing w:before="0" w:after="0" w:line="240" w:lineRule="exact"/>
              <w:jc w:val="right"/>
              <w:rPr>
                <w:rFonts w:ascii="宋体" w:hAnsi="宋体" w:eastAsia="宋体" w:cs="宋体"/>
                <w:sz w:val="18"/>
                <w:szCs w:val="18"/>
              </w:rPr>
            </w:pPr>
          </w:p>
        </w:tc>
      </w:tr>
      <w:tr w14:paraId="43490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683" w:type="pct"/>
            <w:shd w:val="clear" w:color="auto" w:fill="D3D3D3"/>
            <w:vAlign w:val="center"/>
          </w:tcPr>
          <w:p w14:paraId="51C43832">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（二）将重分类进损益的其他综合收益</w:t>
            </w:r>
          </w:p>
        </w:tc>
        <w:tc>
          <w:tcPr>
            <w:tcW w:w="1235" w:type="pct"/>
            <w:vAlign w:val="center"/>
          </w:tcPr>
          <w:p w14:paraId="6C15D0AD">
            <w:pPr>
              <w:spacing w:before="0" w:after="0" w:line="240" w:lineRule="exact"/>
              <w:jc w:val="right"/>
              <w:rPr>
                <w:rFonts w:ascii="宋体" w:hAnsi="宋体" w:eastAsia="宋体" w:cs="宋体"/>
                <w:sz w:val="18"/>
                <w:szCs w:val="18"/>
              </w:rPr>
            </w:pPr>
          </w:p>
        </w:tc>
        <w:tc>
          <w:tcPr>
            <w:tcW w:w="1080" w:type="pct"/>
            <w:vAlign w:val="center"/>
          </w:tcPr>
          <w:p w14:paraId="2DF9E221">
            <w:pPr>
              <w:spacing w:before="0" w:after="0" w:line="240" w:lineRule="exact"/>
              <w:jc w:val="right"/>
              <w:rPr>
                <w:rFonts w:ascii="宋体" w:hAnsi="宋体" w:eastAsia="宋体" w:cs="宋体"/>
                <w:sz w:val="18"/>
                <w:szCs w:val="18"/>
              </w:rPr>
            </w:pPr>
          </w:p>
        </w:tc>
      </w:tr>
      <w:tr w14:paraId="3BF5B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683" w:type="pct"/>
            <w:shd w:val="clear" w:color="auto" w:fill="D3D3D3"/>
            <w:vAlign w:val="center"/>
          </w:tcPr>
          <w:p w14:paraId="49D85814">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1.权益法下可转损益的其他综合收益</w:t>
            </w:r>
          </w:p>
        </w:tc>
        <w:tc>
          <w:tcPr>
            <w:tcW w:w="1235" w:type="pct"/>
            <w:vAlign w:val="center"/>
          </w:tcPr>
          <w:p w14:paraId="7579E229">
            <w:pPr>
              <w:spacing w:before="0" w:after="0" w:line="240" w:lineRule="exact"/>
              <w:jc w:val="right"/>
              <w:rPr>
                <w:rFonts w:ascii="宋体" w:hAnsi="宋体" w:eastAsia="宋体" w:cs="宋体"/>
                <w:sz w:val="18"/>
                <w:szCs w:val="18"/>
              </w:rPr>
            </w:pPr>
          </w:p>
        </w:tc>
        <w:tc>
          <w:tcPr>
            <w:tcW w:w="1080" w:type="pct"/>
            <w:vAlign w:val="center"/>
          </w:tcPr>
          <w:p w14:paraId="6E7194D9">
            <w:pPr>
              <w:spacing w:before="0" w:after="0" w:line="240" w:lineRule="exact"/>
              <w:jc w:val="right"/>
              <w:rPr>
                <w:rFonts w:ascii="宋体" w:hAnsi="宋体" w:eastAsia="宋体" w:cs="宋体"/>
                <w:sz w:val="18"/>
                <w:szCs w:val="18"/>
              </w:rPr>
            </w:pPr>
          </w:p>
        </w:tc>
      </w:tr>
      <w:tr w14:paraId="48FED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683" w:type="pct"/>
            <w:shd w:val="clear" w:color="auto" w:fill="D3D3D3"/>
            <w:vAlign w:val="center"/>
          </w:tcPr>
          <w:p w14:paraId="565CB6D9">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2.其他债权投资公允价值变动</w:t>
            </w:r>
          </w:p>
        </w:tc>
        <w:tc>
          <w:tcPr>
            <w:tcW w:w="1235" w:type="pct"/>
            <w:vAlign w:val="center"/>
          </w:tcPr>
          <w:p w14:paraId="06F3841F">
            <w:pPr>
              <w:spacing w:before="0" w:after="0" w:line="240" w:lineRule="exact"/>
              <w:jc w:val="right"/>
              <w:rPr>
                <w:rFonts w:ascii="宋体" w:hAnsi="宋体" w:eastAsia="宋体" w:cs="宋体"/>
                <w:sz w:val="18"/>
                <w:szCs w:val="18"/>
              </w:rPr>
            </w:pPr>
          </w:p>
        </w:tc>
        <w:tc>
          <w:tcPr>
            <w:tcW w:w="1080" w:type="pct"/>
            <w:vAlign w:val="center"/>
          </w:tcPr>
          <w:p w14:paraId="4EB2E754">
            <w:pPr>
              <w:spacing w:before="0" w:after="0" w:line="240" w:lineRule="exact"/>
              <w:jc w:val="right"/>
              <w:rPr>
                <w:rFonts w:ascii="宋体" w:hAnsi="宋体" w:eastAsia="宋体" w:cs="宋体"/>
                <w:sz w:val="18"/>
                <w:szCs w:val="18"/>
              </w:rPr>
            </w:pPr>
          </w:p>
        </w:tc>
      </w:tr>
      <w:tr w14:paraId="1A594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683" w:type="pct"/>
            <w:shd w:val="clear" w:color="auto" w:fill="D3D3D3"/>
            <w:vAlign w:val="center"/>
          </w:tcPr>
          <w:p w14:paraId="2E32BA84">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3.金融资产重分类计入其他综合收益的金额</w:t>
            </w:r>
          </w:p>
        </w:tc>
        <w:tc>
          <w:tcPr>
            <w:tcW w:w="1235" w:type="pct"/>
            <w:vAlign w:val="center"/>
          </w:tcPr>
          <w:p w14:paraId="12036677">
            <w:pPr>
              <w:spacing w:before="0" w:after="0" w:line="240" w:lineRule="exact"/>
              <w:jc w:val="right"/>
              <w:rPr>
                <w:rFonts w:ascii="宋体" w:hAnsi="宋体" w:eastAsia="宋体" w:cs="宋体"/>
                <w:sz w:val="18"/>
                <w:szCs w:val="18"/>
              </w:rPr>
            </w:pPr>
          </w:p>
        </w:tc>
        <w:tc>
          <w:tcPr>
            <w:tcW w:w="1080" w:type="pct"/>
            <w:vAlign w:val="center"/>
          </w:tcPr>
          <w:p w14:paraId="67595F9B">
            <w:pPr>
              <w:spacing w:before="0" w:after="0" w:line="240" w:lineRule="exact"/>
              <w:jc w:val="right"/>
              <w:rPr>
                <w:rFonts w:ascii="宋体" w:hAnsi="宋体" w:eastAsia="宋体" w:cs="宋体"/>
                <w:sz w:val="18"/>
                <w:szCs w:val="18"/>
              </w:rPr>
            </w:pPr>
          </w:p>
        </w:tc>
      </w:tr>
      <w:tr w14:paraId="12042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683" w:type="pct"/>
            <w:shd w:val="clear" w:color="auto" w:fill="D3D3D3"/>
            <w:vAlign w:val="center"/>
          </w:tcPr>
          <w:p w14:paraId="0E351192">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4.其他债权投资信用减值准备</w:t>
            </w:r>
          </w:p>
        </w:tc>
        <w:tc>
          <w:tcPr>
            <w:tcW w:w="1235" w:type="pct"/>
            <w:vAlign w:val="center"/>
          </w:tcPr>
          <w:p w14:paraId="4319FEA3">
            <w:pPr>
              <w:spacing w:before="0" w:after="0" w:line="240" w:lineRule="exact"/>
              <w:jc w:val="right"/>
              <w:rPr>
                <w:rFonts w:ascii="宋体" w:hAnsi="宋体" w:eastAsia="宋体" w:cs="宋体"/>
                <w:sz w:val="18"/>
                <w:szCs w:val="18"/>
              </w:rPr>
            </w:pPr>
          </w:p>
        </w:tc>
        <w:tc>
          <w:tcPr>
            <w:tcW w:w="1080" w:type="pct"/>
            <w:vAlign w:val="center"/>
          </w:tcPr>
          <w:p w14:paraId="35F62CAD">
            <w:pPr>
              <w:spacing w:before="0" w:after="0" w:line="240" w:lineRule="exact"/>
              <w:jc w:val="right"/>
              <w:rPr>
                <w:rFonts w:ascii="宋体" w:hAnsi="宋体" w:eastAsia="宋体" w:cs="宋体"/>
                <w:sz w:val="18"/>
                <w:szCs w:val="18"/>
              </w:rPr>
            </w:pPr>
          </w:p>
        </w:tc>
      </w:tr>
      <w:tr w14:paraId="77382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683" w:type="pct"/>
            <w:shd w:val="clear" w:color="auto" w:fill="D3D3D3"/>
            <w:vAlign w:val="center"/>
          </w:tcPr>
          <w:p w14:paraId="4CE4B107">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5.现金流量套期储备</w:t>
            </w:r>
          </w:p>
        </w:tc>
        <w:tc>
          <w:tcPr>
            <w:tcW w:w="1235" w:type="pct"/>
            <w:vAlign w:val="center"/>
          </w:tcPr>
          <w:p w14:paraId="591A25A3">
            <w:pPr>
              <w:spacing w:before="0" w:after="0" w:line="240" w:lineRule="exact"/>
              <w:jc w:val="right"/>
              <w:rPr>
                <w:rFonts w:ascii="宋体" w:hAnsi="宋体" w:eastAsia="宋体" w:cs="宋体"/>
                <w:sz w:val="18"/>
                <w:szCs w:val="18"/>
              </w:rPr>
            </w:pPr>
          </w:p>
        </w:tc>
        <w:tc>
          <w:tcPr>
            <w:tcW w:w="1080" w:type="pct"/>
            <w:vAlign w:val="center"/>
          </w:tcPr>
          <w:p w14:paraId="4A2E9037">
            <w:pPr>
              <w:spacing w:before="0" w:after="0" w:line="240" w:lineRule="exact"/>
              <w:jc w:val="right"/>
              <w:rPr>
                <w:rFonts w:ascii="宋体" w:hAnsi="宋体" w:eastAsia="宋体" w:cs="宋体"/>
                <w:sz w:val="18"/>
                <w:szCs w:val="18"/>
              </w:rPr>
            </w:pPr>
          </w:p>
        </w:tc>
      </w:tr>
      <w:tr w14:paraId="4D40B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683" w:type="pct"/>
            <w:shd w:val="clear" w:color="auto" w:fill="D3D3D3"/>
            <w:vAlign w:val="center"/>
          </w:tcPr>
          <w:p w14:paraId="6F82BF44">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6.外币财务报表折算差额</w:t>
            </w:r>
          </w:p>
        </w:tc>
        <w:tc>
          <w:tcPr>
            <w:tcW w:w="1235" w:type="pct"/>
            <w:vAlign w:val="center"/>
          </w:tcPr>
          <w:p w14:paraId="37F571D3">
            <w:pPr>
              <w:spacing w:before="0" w:after="0" w:line="240" w:lineRule="exact"/>
              <w:jc w:val="right"/>
              <w:rPr>
                <w:rFonts w:ascii="宋体" w:hAnsi="宋体" w:eastAsia="宋体" w:cs="宋体"/>
                <w:sz w:val="18"/>
                <w:szCs w:val="18"/>
              </w:rPr>
            </w:pPr>
          </w:p>
        </w:tc>
        <w:tc>
          <w:tcPr>
            <w:tcW w:w="1080" w:type="pct"/>
            <w:vAlign w:val="center"/>
          </w:tcPr>
          <w:p w14:paraId="4220D968">
            <w:pPr>
              <w:spacing w:before="0" w:after="0" w:line="240" w:lineRule="exact"/>
              <w:jc w:val="right"/>
              <w:rPr>
                <w:rFonts w:ascii="宋体" w:hAnsi="宋体" w:eastAsia="宋体" w:cs="宋体"/>
                <w:sz w:val="18"/>
                <w:szCs w:val="18"/>
              </w:rPr>
            </w:pPr>
          </w:p>
        </w:tc>
      </w:tr>
      <w:tr w14:paraId="7D1CA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683" w:type="pct"/>
            <w:shd w:val="clear" w:color="auto" w:fill="D3D3D3"/>
            <w:vAlign w:val="center"/>
          </w:tcPr>
          <w:p w14:paraId="1D0CFDB4">
            <w:pPr>
              <w:spacing w:before="0" w:after="0" w:line="240" w:lineRule="exact"/>
              <w:ind w:firstLine="540" w:firstLineChars="300"/>
              <w:jc w:val="left"/>
              <w:rPr>
                <w:rFonts w:ascii="宋体" w:hAnsi="宋体" w:eastAsia="宋体" w:cs="宋体"/>
                <w:sz w:val="18"/>
                <w:szCs w:val="18"/>
              </w:rPr>
            </w:pPr>
            <w:r>
              <w:rPr>
                <w:rFonts w:ascii="宋体" w:hAnsi="宋体" w:eastAsia="宋体" w:cs="宋体"/>
                <w:sz w:val="18"/>
                <w:szCs w:val="18"/>
              </w:rPr>
              <w:t>7.其他</w:t>
            </w:r>
          </w:p>
        </w:tc>
        <w:tc>
          <w:tcPr>
            <w:tcW w:w="1235" w:type="pct"/>
            <w:vAlign w:val="center"/>
          </w:tcPr>
          <w:p w14:paraId="0384B26F">
            <w:pPr>
              <w:spacing w:before="0" w:after="0" w:line="240" w:lineRule="exact"/>
              <w:jc w:val="right"/>
              <w:rPr>
                <w:rFonts w:ascii="宋体" w:hAnsi="宋体" w:eastAsia="宋体" w:cs="宋体"/>
                <w:sz w:val="18"/>
                <w:szCs w:val="18"/>
              </w:rPr>
            </w:pPr>
          </w:p>
        </w:tc>
        <w:tc>
          <w:tcPr>
            <w:tcW w:w="1080" w:type="pct"/>
            <w:vAlign w:val="center"/>
          </w:tcPr>
          <w:p w14:paraId="4EFC371F">
            <w:pPr>
              <w:spacing w:before="0" w:after="0" w:line="240" w:lineRule="exact"/>
              <w:jc w:val="right"/>
              <w:rPr>
                <w:rFonts w:ascii="宋体" w:hAnsi="宋体" w:eastAsia="宋体" w:cs="宋体"/>
                <w:sz w:val="18"/>
                <w:szCs w:val="18"/>
              </w:rPr>
            </w:pPr>
          </w:p>
        </w:tc>
      </w:tr>
      <w:tr w14:paraId="387C2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683" w:type="pct"/>
            <w:shd w:val="clear" w:color="auto" w:fill="D3D3D3"/>
            <w:vAlign w:val="center"/>
          </w:tcPr>
          <w:p w14:paraId="15CCF1DB">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归属于少数股东的其他综合收益的税后净额</w:t>
            </w:r>
          </w:p>
        </w:tc>
        <w:tc>
          <w:tcPr>
            <w:tcW w:w="1235" w:type="pct"/>
            <w:vAlign w:val="center"/>
          </w:tcPr>
          <w:p w14:paraId="41E3B812">
            <w:pPr>
              <w:spacing w:before="0" w:after="0" w:line="240" w:lineRule="exact"/>
              <w:jc w:val="right"/>
              <w:rPr>
                <w:rFonts w:ascii="宋体" w:hAnsi="宋体" w:eastAsia="宋体" w:cs="宋体"/>
                <w:sz w:val="18"/>
                <w:szCs w:val="18"/>
              </w:rPr>
            </w:pPr>
          </w:p>
        </w:tc>
        <w:tc>
          <w:tcPr>
            <w:tcW w:w="1080" w:type="pct"/>
            <w:vAlign w:val="center"/>
          </w:tcPr>
          <w:p w14:paraId="2DAA96BC">
            <w:pPr>
              <w:spacing w:before="0" w:after="0" w:line="240" w:lineRule="exact"/>
              <w:jc w:val="right"/>
              <w:rPr>
                <w:rFonts w:ascii="宋体" w:hAnsi="宋体" w:eastAsia="宋体" w:cs="宋体"/>
                <w:sz w:val="18"/>
                <w:szCs w:val="18"/>
              </w:rPr>
            </w:pPr>
          </w:p>
        </w:tc>
      </w:tr>
      <w:tr w14:paraId="7C668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683" w:type="pct"/>
            <w:shd w:val="clear" w:color="auto" w:fill="D3D3D3"/>
            <w:vAlign w:val="center"/>
          </w:tcPr>
          <w:p w14:paraId="365E9DDD">
            <w:pPr>
              <w:spacing w:before="0" w:after="0" w:line="240" w:lineRule="exact"/>
              <w:jc w:val="left"/>
              <w:rPr>
                <w:rFonts w:ascii="宋体" w:hAnsi="宋体" w:eastAsia="宋体" w:cs="宋体"/>
                <w:sz w:val="18"/>
                <w:szCs w:val="18"/>
              </w:rPr>
            </w:pPr>
            <w:r>
              <w:rPr>
                <w:rFonts w:ascii="宋体" w:hAnsi="宋体" w:eastAsia="宋体" w:cs="宋体"/>
                <w:sz w:val="18"/>
                <w:szCs w:val="18"/>
              </w:rPr>
              <w:t>七、综合收益总额</w:t>
            </w:r>
          </w:p>
        </w:tc>
        <w:tc>
          <w:tcPr>
            <w:tcW w:w="1235" w:type="pct"/>
            <w:vAlign w:val="center"/>
          </w:tcPr>
          <w:p w14:paraId="2C276FC5">
            <w:pPr>
              <w:spacing w:before="0" w:after="0" w:line="240" w:lineRule="exact"/>
              <w:jc w:val="right"/>
              <w:rPr>
                <w:rFonts w:ascii="宋体" w:hAnsi="宋体" w:eastAsia="宋体" w:cs="宋体"/>
                <w:sz w:val="18"/>
                <w:szCs w:val="18"/>
              </w:rPr>
            </w:pPr>
            <w:r>
              <w:rPr>
                <w:rFonts w:ascii="宋体" w:hAnsi="宋体" w:eastAsia="宋体" w:cs="宋体"/>
                <w:sz w:val="18"/>
                <w:szCs w:val="18"/>
              </w:rPr>
              <w:t>29,743,354.30</w:t>
            </w:r>
          </w:p>
        </w:tc>
        <w:tc>
          <w:tcPr>
            <w:tcW w:w="1080" w:type="pct"/>
            <w:vAlign w:val="center"/>
          </w:tcPr>
          <w:p w14:paraId="5686684F">
            <w:pPr>
              <w:spacing w:before="0" w:after="0" w:line="240" w:lineRule="exact"/>
              <w:jc w:val="right"/>
              <w:rPr>
                <w:rFonts w:ascii="宋体" w:hAnsi="宋体" w:eastAsia="宋体" w:cs="宋体"/>
                <w:sz w:val="18"/>
                <w:szCs w:val="18"/>
              </w:rPr>
            </w:pPr>
            <w:r>
              <w:rPr>
                <w:rFonts w:ascii="宋体" w:hAnsi="宋体" w:eastAsia="宋体" w:cs="宋体"/>
                <w:sz w:val="18"/>
                <w:szCs w:val="18"/>
              </w:rPr>
              <w:t>28,664,145.15</w:t>
            </w:r>
          </w:p>
        </w:tc>
      </w:tr>
      <w:tr w14:paraId="7C258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683" w:type="pct"/>
            <w:shd w:val="clear" w:color="auto" w:fill="D3D3D3"/>
            <w:vAlign w:val="center"/>
          </w:tcPr>
          <w:p w14:paraId="044BBCDF">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归属于母公司所有者的综合收益总额</w:t>
            </w:r>
          </w:p>
        </w:tc>
        <w:tc>
          <w:tcPr>
            <w:tcW w:w="1235" w:type="pct"/>
            <w:vAlign w:val="center"/>
          </w:tcPr>
          <w:p w14:paraId="61961697">
            <w:pPr>
              <w:spacing w:before="0" w:after="0" w:line="240" w:lineRule="exact"/>
              <w:jc w:val="right"/>
              <w:rPr>
                <w:rFonts w:ascii="宋体" w:hAnsi="宋体" w:eastAsia="宋体" w:cs="宋体"/>
                <w:sz w:val="18"/>
                <w:szCs w:val="18"/>
              </w:rPr>
            </w:pPr>
            <w:r>
              <w:rPr>
                <w:rFonts w:ascii="宋体" w:hAnsi="宋体" w:eastAsia="宋体" w:cs="宋体"/>
                <w:sz w:val="18"/>
                <w:szCs w:val="18"/>
              </w:rPr>
              <w:t>29,743,354.30</w:t>
            </w:r>
          </w:p>
        </w:tc>
        <w:tc>
          <w:tcPr>
            <w:tcW w:w="1080" w:type="pct"/>
            <w:vAlign w:val="center"/>
          </w:tcPr>
          <w:p w14:paraId="30CCE5CF">
            <w:pPr>
              <w:spacing w:before="0" w:after="0" w:line="240" w:lineRule="exact"/>
              <w:jc w:val="right"/>
              <w:rPr>
                <w:rFonts w:ascii="宋体" w:hAnsi="宋体" w:eastAsia="宋体" w:cs="宋体"/>
                <w:sz w:val="18"/>
                <w:szCs w:val="18"/>
              </w:rPr>
            </w:pPr>
            <w:r>
              <w:rPr>
                <w:rFonts w:ascii="宋体" w:hAnsi="宋体" w:eastAsia="宋体" w:cs="宋体"/>
                <w:sz w:val="18"/>
                <w:szCs w:val="18"/>
              </w:rPr>
              <w:t>28,664,145.15</w:t>
            </w:r>
          </w:p>
        </w:tc>
      </w:tr>
      <w:tr w14:paraId="3D67E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683" w:type="pct"/>
            <w:shd w:val="clear" w:color="auto" w:fill="D3D3D3"/>
            <w:vAlign w:val="center"/>
          </w:tcPr>
          <w:p w14:paraId="5BDB57B1">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归属于少数股东的综合收益总额</w:t>
            </w:r>
          </w:p>
        </w:tc>
        <w:tc>
          <w:tcPr>
            <w:tcW w:w="1235" w:type="pct"/>
            <w:vAlign w:val="center"/>
          </w:tcPr>
          <w:p w14:paraId="52FE2ACA">
            <w:pPr>
              <w:spacing w:before="0" w:after="0" w:line="240" w:lineRule="exact"/>
              <w:jc w:val="right"/>
              <w:rPr>
                <w:rFonts w:ascii="宋体" w:hAnsi="宋体" w:eastAsia="宋体" w:cs="宋体"/>
                <w:sz w:val="18"/>
                <w:szCs w:val="18"/>
              </w:rPr>
            </w:pPr>
          </w:p>
        </w:tc>
        <w:tc>
          <w:tcPr>
            <w:tcW w:w="1080" w:type="pct"/>
            <w:vAlign w:val="center"/>
          </w:tcPr>
          <w:p w14:paraId="5B44C70B">
            <w:pPr>
              <w:spacing w:before="0" w:after="0" w:line="240" w:lineRule="exact"/>
              <w:jc w:val="right"/>
              <w:rPr>
                <w:rFonts w:ascii="宋体" w:hAnsi="宋体" w:eastAsia="宋体" w:cs="宋体"/>
                <w:sz w:val="18"/>
                <w:szCs w:val="18"/>
              </w:rPr>
            </w:pPr>
          </w:p>
        </w:tc>
      </w:tr>
      <w:tr w14:paraId="2B20D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683" w:type="pct"/>
            <w:shd w:val="clear" w:color="auto" w:fill="D3D3D3"/>
            <w:vAlign w:val="center"/>
          </w:tcPr>
          <w:p w14:paraId="1BA3D06F">
            <w:pPr>
              <w:spacing w:before="0" w:after="0" w:line="240" w:lineRule="exact"/>
              <w:jc w:val="left"/>
              <w:rPr>
                <w:rFonts w:ascii="宋体" w:hAnsi="宋体" w:eastAsia="宋体" w:cs="宋体"/>
                <w:sz w:val="18"/>
                <w:szCs w:val="18"/>
              </w:rPr>
            </w:pPr>
            <w:r>
              <w:rPr>
                <w:rFonts w:ascii="宋体" w:hAnsi="宋体" w:eastAsia="宋体" w:cs="宋体"/>
                <w:sz w:val="18"/>
                <w:szCs w:val="18"/>
              </w:rPr>
              <w:t>八、每股收益：</w:t>
            </w:r>
          </w:p>
        </w:tc>
        <w:tc>
          <w:tcPr>
            <w:tcW w:w="1235" w:type="pct"/>
            <w:shd w:val="clear" w:color="auto" w:fill="D3D3D3"/>
            <w:vAlign w:val="center"/>
          </w:tcPr>
          <w:p w14:paraId="5728B6F3"/>
        </w:tc>
        <w:tc>
          <w:tcPr>
            <w:tcW w:w="1080" w:type="pct"/>
            <w:shd w:val="clear" w:color="auto" w:fill="D3D3D3"/>
            <w:vAlign w:val="center"/>
          </w:tcPr>
          <w:p w14:paraId="3FB427BD"/>
        </w:tc>
      </w:tr>
      <w:tr w14:paraId="41A70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683" w:type="pct"/>
            <w:shd w:val="clear" w:color="auto" w:fill="D3D3D3"/>
            <w:vAlign w:val="center"/>
          </w:tcPr>
          <w:p w14:paraId="07EB7731">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（一）基本每股收益</w:t>
            </w:r>
          </w:p>
        </w:tc>
        <w:tc>
          <w:tcPr>
            <w:tcW w:w="1235" w:type="pct"/>
            <w:vAlign w:val="center"/>
          </w:tcPr>
          <w:p w14:paraId="093B3AD3">
            <w:pPr>
              <w:spacing w:before="0" w:after="0" w:line="240" w:lineRule="exact"/>
              <w:jc w:val="right"/>
              <w:rPr>
                <w:rFonts w:ascii="宋体" w:hAnsi="宋体" w:eastAsia="宋体" w:cs="宋体"/>
                <w:sz w:val="18"/>
                <w:szCs w:val="18"/>
              </w:rPr>
            </w:pPr>
            <w:r>
              <w:rPr>
                <w:rFonts w:ascii="宋体" w:hAnsi="宋体" w:eastAsia="宋体" w:cs="宋体"/>
                <w:sz w:val="18"/>
                <w:szCs w:val="18"/>
              </w:rPr>
              <w:t>0.1525</w:t>
            </w:r>
          </w:p>
        </w:tc>
        <w:tc>
          <w:tcPr>
            <w:tcW w:w="1080" w:type="pct"/>
            <w:vAlign w:val="center"/>
          </w:tcPr>
          <w:p w14:paraId="5A6D4915">
            <w:pPr>
              <w:spacing w:before="0" w:after="0" w:line="240" w:lineRule="exact"/>
              <w:jc w:val="right"/>
              <w:rPr>
                <w:rFonts w:ascii="宋体" w:hAnsi="宋体" w:eastAsia="宋体" w:cs="宋体"/>
                <w:sz w:val="18"/>
                <w:szCs w:val="18"/>
              </w:rPr>
            </w:pPr>
            <w:r>
              <w:rPr>
                <w:rFonts w:ascii="宋体" w:hAnsi="宋体" w:eastAsia="宋体" w:cs="宋体"/>
                <w:sz w:val="18"/>
                <w:szCs w:val="18"/>
              </w:rPr>
              <w:t>0.1470</w:t>
            </w:r>
          </w:p>
        </w:tc>
      </w:tr>
      <w:tr w14:paraId="63A5D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683" w:type="pct"/>
            <w:shd w:val="clear" w:color="auto" w:fill="D3D3D3"/>
            <w:vAlign w:val="center"/>
          </w:tcPr>
          <w:p w14:paraId="0D69B416">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（二）稀释每股收益</w:t>
            </w:r>
          </w:p>
        </w:tc>
        <w:tc>
          <w:tcPr>
            <w:tcW w:w="1235" w:type="pct"/>
            <w:vAlign w:val="center"/>
          </w:tcPr>
          <w:p w14:paraId="7DA184F6">
            <w:pPr>
              <w:spacing w:before="0" w:after="0" w:line="240" w:lineRule="exact"/>
              <w:jc w:val="right"/>
              <w:rPr>
                <w:rFonts w:ascii="宋体" w:hAnsi="宋体" w:eastAsia="宋体" w:cs="宋体"/>
                <w:sz w:val="18"/>
                <w:szCs w:val="18"/>
              </w:rPr>
            </w:pPr>
            <w:r>
              <w:rPr>
                <w:rFonts w:ascii="宋体" w:hAnsi="宋体" w:eastAsia="宋体" w:cs="宋体"/>
                <w:sz w:val="18"/>
                <w:szCs w:val="18"/>
              </w:rPr>
              <w:t>0.1525</w:t>
            </w:r>
          </w:p>
        </w:tc>
        <w:tc>
          <w:tcPr>
            <w:tcW w:w="1080" w:type="pct"/>
            <w:vAlign w:val="center"/>
          </w:tcPr>
          <w:p w14:paraId="15F5B803">
            <w:pPr>
              <w:spacing w:before="0" w:after="0" w:line="240" w:lineRule="exact"/>
              <w:jc w:val="right"/>
              <w:rPr>
                <w:rFonts w:ascii="宋体" w:hAnsi="宋体" w:eastAsia="宋体" w:cs="宋体"/>
                <w:sz w:val="18"/>
                <w:szCs w:val="18"/>
              </w:rPr>
            </w:pPr>
            <w:r>
              <w:rPr>
                <w:rFonts w:ascii="宋体" w:hAnsi="宋体" w:eastAsia="宋体" w:cs="宋体"/>
                <w:sz w:val="18"/>
                <w:szCs w:val="18"/>
              </w:rPr>
              <w:t>0.1470</w:t>
            </w:r>
          </w:p>
        </w:tc>
      </w:tr>
    </w:tbl>
    <w:p w14:paraId="2F753511">
      <w:pPr>
        <w:spacing w:before="0" w:after="0" w:line="240" w:lineRule="exact"/>
        <w:jc w:val="center"/>
        <w:rPr>
          <w:rFonts w:ascii="宋体" w:hAnsi="宋体" w:eastAsia="宋体" w:cs="宋体"/>
          <w:sz w:val="18"/>
          <w:szCs w:val="18"/>
        </w:rPr>
      </w:pPr>
      <w:r>
        <w:rPr>
          <w:rFonts w:ascii="宋体" w:hAnsi="宋体" w:eastAsia="宋体" w:cs="宋体"/>
          <w:sz w:val="18"/>
          <w:szCs w:val="18"/>
        </w:rPr>
        <w:t>法定代表人：苏青林                  主管会计工作负责人：程相伟                  会计机构负责人：程相伟</w:t>
      </w:r>
    </w:p>
    <w:p w14:paraId="3C7F925A">
      <w:pPr>
        <w:keepNext/>
        <w:keepLines/>
        <w:spacing w:before="300" w:after="300" w:line="280" w:lineRule="exact"/>
        <w:jc w:val="left"/>
        <w:outlineLvl w:val="2"/>
        <w:rPr>
          <w:rFonts w:ascii="宋体" w:hAnsi="宋体" w:eastAsia="宋体" w:cs="宋体"/>
          <w:b/>
          <w:bCs/>
          <w:sz w:val="21"/>
          <w:szCs w:val="21"/>
        </w:rPr>
      </w:pPr>
      <w:bookmarkStart w:id="12" w:name="_Toc988901"/>
      <w:r>
        <w:rPr>
          <w:rFonts w:ascii="宋体" w:hAnsi="宋体" w:eastAsia="宋体" w:cs="宋体"/>
          <w:b/>
          <w:bCs/>
          <w:sz w:val="21"/>
          <w:szCs w:val="21"/>
        </w:rPr>
        <w:t>3、合并现金流量表</w:t>
      </w:r>
      <w:bookmarkEnd w:id="12"/>
    </w:p>
    <w:p w14:paraId="4313ABDC">
      <w:pPr>
        <w:spacing w:before="0" w:after="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3"/>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7"/>
        <w:gridCol w:w="2236"/>
        <w:gridCol w:w="2290"/>
      </w:tblGrid>
      <w:tr w14:paraId="22A36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701" w:type="pct"/>
            <w:shd w:val="clear" w:color="auto" w:fill="D3D3D3"/>
            <w:vAlign w:val="center"/>
          </w:tcPr>
          <w:p w14:paraId="3039D25D">
            <w:pPr>
              <w:spacing w:before="0" w:after="0" w:line="240" w:lineRule="exact"/>
              <w:jc w:val="center"/>
              <w:rPr>
                <w:rFonts w:ascii="宋体" w:hAnsi="宋体" w:eastAsia="宋体" w:cs="宋体"/>
                <w:sz w:val="18"/>
                <w:szCs w:val="18"/>
              </w:rPr>
            </w:pPr>
            <w:r>
              <w:rPr>
                <w:rFonts w:ascii="宋体" w:hAnsi="宋体" w:eastAsia="宋体" w:cs="宋体"/>
                <w:sz w:val="18"/>
                <w:szCs w:val="18"/>
              </w:rPr>
              <w:t>项目</w:t>
            </w:r>
          </w:p>
        </w:tc>
        <w:tc>
          <w:tcPr>
            <w:tcW w:w="1135" w:type="pct"/>
            <w:shd w:val="clear" w:color="auto" w:fill="D3D3D3"/>
            <w:vAlign w:val="center"/>
          </w:tcPr>
          <w:p w14:paraId="421033D7">
            <w:pPr>
              <w:spacing w:before="0" w:after="0" w:line="240" w:lineRule="exact"/>
              <w:jc w:val="center"/>
              <w:rPr>
                <w:rFonts w:ascii="宋体" w:hAnsi="宋体" w:eastAsia="宋体" w:cs="宋体"/>
                <w:sz w:val="18"/>
                <w:szCs w:val="18"/>
              </w:rPr>
            </w:pPr>
            <w:r>
              <w:rPr>
                <w:rFonts w:ascii="宋体" w:hAnsi="宋体" w:eastAsia="宋体" w:cs="宋体"/>
                <w:sz w:val="18"/>
                <w:szCs w:val="18"/>
              </w:rPr>
              <w:t>本期发生额</w:t>
            </w:r>
          </w:p>
        </w:tc>
        <w:tc>
          <w:tcPr>
            <w:tcW w:w="1163" w:type="pct"/>
            <w:shd w:val="clear" w:color="auto" w:fill="D3D3D3"/>
            <w:vAlign w:val="center"/>
          </w:tcPr>
          <w:p w14:paraId="3EA1C0E5">
            <w:pPr>
              <w:spacing w:before="0" w:after="0" w:line="240" w:lineRule="exact"/>
              <w:jc w:val="center"/>
              <w:rPr>
                <w:rFonts w:ascii="宋体" w:hAnsi="宋体" w:eastAsia="宋体" w:cs="宋体"/>
                <w:sz w:val="18"/>
                <w:szCs w:val="18"/>
              </w:rPr>
            </w:pPr>
            <w:r>
              <w:rPr>
                <w:rFonts w:ascii="宋体" w:hAnsi="宋体" w:eastAsia="宋体" w:cs="宋体"/>
                <w:sz w:val="18"/>
                <w:szCs w:val="18"/>
              </w:rPr>
              <w:t>上期发生额</w:t>
            </w:r>
          </w:p>
        </w:tc>
      </w:tr>
      <w:tr w14:paraId="7A61D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701" w:type="pct"/>
            <w:shd w:val="clear" w:color="auto" w:fill="D3D3D3"/>
            <w:vAlign w:val="center"/>
          </w:tcPr>
          <w:p w14:paraId="3D7FCCF8">
            <w:pPr>
              <w:spacing w:before="0" w:after="0" w:line="240" w:lineRule="exact"/>
              <w:jc w:val="left"/>
              <w:rPr>
                <w:rFonts w:ascii="宋体" w:hAnsi="宋体" w:eastAsia="宋体" w:cs="宋体"/>
                <w:sz w:val="18"/>
                <w:szCs w:val="18"/>
              </w:rPr>
            </w:pPr>
            <w:r>
              <w:rPr>
                <w:rFonts w:ascii="宋体" w:hAnsi="宋体" w:eastAsia="宋体" w:cs="宋体"/>
                <w:sz w:val="18"/>
                <w:szCs w:val="18"/>
              </w:rPr>
              <w:t>一、经营活动产生的现金流量：</w:t>
            </w:r>
          </w:p>
        </w:tc>
        <w:tc>
          <w:tcPr>
            <w:tcW w:w="1135" w:type="pct"/>
            <w:shd w:val="clear" w:color="auto" w:fill="D3D3D3"/>
            <w:vAlign w:val="center"/>
          </w:tcPr>
          <w:p w14:paraId="717BAAC3"/>
        </w:tc>
        <w:tc>
          <w:tcPr>
            <w:tcW w:w="1163" w:type="pct"/>
            <w:shd w:val="clear" w:color="auto" w:fill="D3D3D3"/>
            <w:vAlign w:val="center"/>
          </w:tcPr>
          <w:p w14:paraId="14D587CD"/>
        </w:tc>
      </w:tr>
      <w:tr w14:paraId="1E348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701" w:type="pct"/>
            <w:shd w:val="clear" w:color="auto" w:fill="D3D3D3"/>
            <w:vAlign w:val="center"/>
          </w:tcPr>
          <w:p w14:paraId="3AF66C5D">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销售商品、提供劳务收到的现金</w:t>
            </w:r>
          </w:p>
        </w:tc>
        <w:tc>
          <w:tcPr>
            <w:tcW w:w="1135" w:type="pct"/>
            <w:vAlign w:val="center"/>
          </w:tcPr>
          <w:p w14:paraId="39286474">
            <w:pPr>
              <w:spacing w:before="0" w:after="0" w:line="240" w:lineRule="exact"/>
              <w:jc w:val="right"/>
              <w:rPr>
                <w:rFonts w:ascii="宋体" w:hAnsi="宋体" w:eastAsia="宋体" w:cs="宋体"/>
                <w:sz w:val="18"/>
                <w:szCs w:val="18"/>
              </w:rPr>
            </w:pPr>
            <w:r>
              <w:rPr>
                <w:rFonts w:ascii="宋体" w:hAnsi="宋体" w:eastAsia="宋体" w:cs="宋体"/>
                <w:sz w:val="18"/>
                <w:szCs w:val="18"/>
              </w:rPr>
              <w:t>144,859,841.77</w:t>
            </w:r>
          </w:p>
        </w:tc>
        <w:tc>
          <w:tcPr>
            <w:tcW w:w="1163" w:type="pct"/>
            <w:vAlign w:val="center"/>
          </w:tcPr>
          <w:p w14:paraId="0B44CD58">
            <w:pPr>
              <w:spacing w:before="0" w:after="0" w:line="240" w:lineRule="exact"/>
              <w:jc w:val="right"/>
              <w:rPr>
                <w:rFonts w:ascii="宋体" w:hAnsi="宋体" w:eastAsia="宋体" w:cs="宋体"/>
                <w:sz w:val="18"/>
                <w:szCs w:val="18"/>
              </w:rPr>
            </w:pPr>
            <w:r>
              <w:rPr>
                <w:rFonts w:ascii="宋体" w:hAnsi="宋体" w:eastAsia="宋体" w:cs="宋体"/>
                <w:sz w:val="18"/>
                <w:szCs w:val="18"/>
              </w:rPr>
              <w:t>132,972,897.22</w:t>
            </w:r>
          </w:p>
        </w:tc>
      </w:tr>
      <w:tr w14:paraId="5D11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701" w:type="pct"/>
            <w:shd w:val="clear" w:color="auto" w:fill="D3D3D3"/>
            <w:vAlign w:val="center"/>
          </w:tcPr>
          <w:p w14:paraId="5E9C1E92">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客户存款和同业存放款项净增加额</w:t>
            </w:r>
          </w:p>
        </w:tc>
        <w:tc>
          <w:tcPr>
            <w:tcW w:w="1135" w:type="pct"/>
            <w:vAlign w:val="center"/>
          </w:tcPr>
          <w:p w14:paraId="6EEB42B7">
            <w:pPr>
              <w:spacing w:before="0" w:after="0" w:line="240" w:lineRule="exact"/>
              <w:jc w:val="right"/>
              <w:rPr>
                <w:rFonts w:ascii="宋体" w:hAnsi="宋体" w:eastAsia="宋体" w:cs="宋体"/>
                <w:sz w:val="18"/>
                <w:szCs w:val="18"/>
              </w:rPr>
            </w:pPr>
          </w:p>
        </w:tc>
        <w:tc>
          <w:tcPr>
            <w:tcW w:w="1163" w:type="pct"/>
            <w:vAlign w:val="center"/>
          </w:tcPr>
          <w:p w14:paraId="7E873321">
            <w:pPr>
              <w:spacing w:before="0" w:after="0" w:line="240" w:lineRule="exact"/>
              <w:jc w:val="right"/>
              <w:rPr>
                <w:rFonts w:ascii="宋体" w:hAnsi="宋体" w:eastAsia="宋体" w:cs="宋体"/>
                <w:sz w:val="18"/>
                <w:szCs w:val="18"/>
              </w:rPr>
            </w:pPr>
          </w:p>
        </w:tc>
      </w:tr>
      <w:tr w14:paraId="7B0F6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701" w:type="pct"/>
            <w:shd w:val="clear" w:color="auto" w:fill="D3D3D3"/>
            <w:vAlign w:val="center"/>
          </w:tcPr>
          <w:p w14:paraId="444694C4">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向中央银行借款净增加额</w:t>
            </w:r>
          </w:p>
        </w:tc>
        <w:tc>
          <w:tcPr>
            <w:tcW w:w="1135" w:type="pct"/>
            <w:vAlign w:val="center"/>
          </w:tcPr>
          <w:p w14:paraId="21DC6E7F">
            <w:pPr>
              <w:spacing w:before="0" w:after="0" w:line="240" w:lineRule="exact"/>
              <w:jc w:val="right"/>
              <w:rPr>
                <w:rFonts w:ascii="宋体" w:hAnsi="宋体" w:eastAsia="宋体" w:cs="宋体"/>
                <w:sz w:val="18"/>
                <w:szCs w:val="18"/>
              </w:rPr>
            </w:pPr>
          </w:p>
        </w:tc>
        <w:tc>
          <w:tcPr>
            <w:tcW w:w="1163" w:type="pct"/>
            <w:vAlign w:val="center"/>
          </w:tcPr>
          <w:p w14:paraId="43EEF5C5">
            <w:pPr>
              <w:spacing w:before="0" w:after="0" w:line="240" w:lineRule="exact"/>
              <w:jc w:val="right"/>
              <w:rPr>
                <w:rFonts w:ascii="宋体" w:hAnsi="宋体" w:eastAsia="宋体" w:cs="宋体"/>
                <w:sz w:val="18"/>
                <w:szCs w:val="18"/>
              </w:rPr>
            </w:pPr>
          </w:p>
        </w:tc>
      </w:tr>
      <w:tr w14:paraId="0AB04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701" w:type="pct"/>
            <w:shd w:val="clear" w:color="auto" w:fill="D3D3D3"/>
            <w:vAlign w:val="center"/>
          </w:tcPr>
          <w:p w14:paraId="4F77864B">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向其他金融机构拆入资金净增加额</w:t>
            </w:r>
          </w:p>
        </w:tc>
        <w:tc>
          <w:tcPr>
            <w:tcW w:w="1135" w:type="pct"/>
            <w:vAlign w:val="center"/>
          </w:tcPr>
          <w:p w14:paraId="7BCB5620">
            <w:pPr>
              <w:spacing w:before="0" w:after="0" w:line="240" w:lineRule="exact"/>
              <w:jc w:val="right"/>
              <w:rPr>
                <w:rFonts w:ascii="宋体" w:hAnsi="宋体" w:eastAsia="宋体" w:cs="宋体"/>
                <w:sz w:val="18"/>
                <w:szCs w:val="18"/>
              </w:rPr>
            </w:pPr>
          </w:p>
        </w:tc>
        <w:tc>
          <w:tcPr>
            <w:tcW w:w="1163" w:type="pct"/>
            <w:vAlign w:val="center"/>
          </w:tcPr>
          <w:p w14:paraId="6369738A">
            <w:pPr>
              <w:spacing w:before="0" w:after="0" w:line="240" w:lineRule="exact"/>
              <w:jc w:val="right"/>
              <w:rPr>
                <w:rFonts w:ascii="宋体" w:hAnsi="宋体" w:eastAsia="宋体" w:cs="宋体"/>
                <w:sz w:val="18"/>
                <w:szCs w:val="18"/>
              </w:rPr>
            </w:pPr>
          </w:p>
        </w:tc>
      </w:tr>
      <w:tr w14:paraId="6A957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701" w:type="pct"/>
            <w:shd w:val="clear" w:color="auto" w:fill="D3D3D3"/>
            <w:vAlign w:val="center"/>
          </w:tcPr>
          <w:p w14:paraId="2EA9B8C2">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收到原保险合同保费取得的现金</w:t>
            </w:r>
          </w:p>
        </w:tc>
        <w:tc>
          <w:tcPr>
            <w:tcW w:w="1135" w:type="pct"/>
            <w:vAlign w:val="center"/>
          </w:tcPr>
          <w:p w14:paraId="222F896B">
            <w:pPr>
              <w:spacing w:before="0" w:after="0" w:line="240" w:lineRule="exact"/>
              <w:jc w:val="right"/>
              <w:rPr>
                <w:rFonts w:ascii="宋体" w:hAnsi="宋体" w:eastAsia="宋体" w:cs="宋体"/>
                <w:sz w:val="18"/>
                <w:szCs w:val="18"/>
              </w:rPr>
            </w:pPr>
          </w:p>
        </w:tc>
        <w:tc>
          <w:tcPr>
            <w:tcW w:w="1163" w:type="pct"/>
            <w:vAlign w:val="center"/>
          </w:tcPr>
          <w:p w14:paraId="55FAC735">
            <w:pPr>
              <w:spacing w:before="0" w:after="0" w:line="240" w:lineRule="exact"/>
              <w:jc w:val="right"/>
              <w:rPr>
                <w:rFonts w:ascii="宋体" w:hAnsi="宋体" w:eastAsia="宋体" w:cs="宋体"/>
                <w:sz w:val="18"/>
                <w:szCs w:val="18"/>
              </w:rPr>
            </w:pPr>
          </w:p>
        </w:tc>
      </w:tr>
      <w:tr w14:paraId="6AC13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701" w:type="pct"/>
            <w:shd w:val="clear" w:color="auto" w:fill="D3D3D3"/>
            <w:vAlign w:val="center"/>
          </w:tcPr>
          <w:p w14:paraId="76A7A432">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收到再保业务现金净额</w:t>
            </w:r>
          </w:p>
        </w:tc>
        <w:tc>
          <w:tcPr>
            <w:tcW w:w="1135" w:type="pct"/>
            <w:vAlign w:val="center"/>
          </w:tcPr>
          <w:p w14:paraId="1FF13715">
            <w:pPr>
              <w:spacing w:before="0" w:after="0" w:line="240" w:lineRule="exact"/>
              <w:jc w:val="right"/>
              <w:rPr>
                <w:rFonts w:ascii="宋体" w:hAnsi="宋体" w:eastAsia="宋体" w:cs="宋体"/>
                <w:sz w:val="18"/>
                <w:szCs w:val="18"/>
              </w:rPr>
            </w:pPr>
          </w:p>
        </w:tc>
        <w:tc>
          <w:tcPr>
            <w:tcW w:w="1163" w:type="pct"/>
            <w:vAlign w:val="center"/>
          </w:tcPr>
          <w:p w14:paraId="0D097F9C">
            <w:pPr>
              <w:spacing w:before="0" w:after="0" w:line="240" w:lineRule="exact"/>
              <w:jc w:val="right"/>
              <w:rPr>
                <w:rFonts w:ascii="宋体" w:hAnsi="宋体" w:eastAsia="宋体" w:cs="宋体"/>
                <w:sz w:val="18"/>
                <w:szCs w:val="18"/>
              </w:rPr>
            </w:pPr>
          </w:p>
        </w:tc>
      </w:tr>
      <w:tr w14:paraId="4625E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701" w:type="pct"/>
            <w:shd w:val="clear" w:color="auto" w:fill="D3D3D3"/>
            <w:vAlign w:val="center"/>
          </w:tcPr>
          <w:p w14:paraId="103417C6">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保户储金及投资款净增加额</w:t>
            </w:r>
          </w:p>
        </w:tc>
        <w:tc>
          <w:tcPr>
            <w:tcW w:w="1135" w:type="pct"/>
            <w:vAlign w:val="center"/>
          </w:tcPr>
          <w:p w14:paraId="4FC09EBC">
            <w:pPr>
              <w:spacing w:before="0" w:after="0" w:line="240" w:lineRule="exact"/>
              <w:jc w:val="right"/>
              <w:rPr>
                <w:rFonts w:ascii="宋体" w:hAnsi="宋体" w:eastAsia="宋体" w:cs="宋体"/>
                <w:sz w:val="18"/>
                <w:szCs w:val="18"/>
              </w:rPr>
            </w:pPr>
          </w:p>
        </w:tc>
        <w:tc>
          <w:tcPr>
            <w:tcW w:w="1163" w:type="pct"/>
            <w:vAlign w:val="center"/>
          </w:tcPr>
          <w:p w14:paraId="0B92E4E5">
            <w:pPr>
              <w:spacing w:before="0" w:after="0" w:line="240" w:lineRule="exact"/>
              <w:jc w:val="right"/>
              <w:rPr>
                <w:rFonts w:ascii="宋体" w:hAnsi="宋体" w:eastAsia="宋体" w:cs="宋体"/>
                <w:sz w:val="18"/>
                <w:szCs w:val="18"/>
              </w:rPr>
            </w:pPr>
          </w:p>
        </w:tc>
      </w:tr>
      <w:tr w14:paraId="064BB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701" w:type="pct"/>
            <w:shd w:val="clear" w:color="auto" w:fill="D3D3D3"/>
            <w:vAlign w:val="center"/>
          </w:tcPr>
          <w:p w14:paraId="4555E59B">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收取利息、手续费及佣金的现金</w:t>
            </w:r>
          </w:p>
        </w:tc>
        <w:tc>
          <w:tcPr>
            <w:tcW w:w="1135" w:type="pct"/>
            <w:vAlign w:val="center"/>
          </w:tcPr>
          <w:p w14:paraId="46B9010D">
            <w:pPr>
              <w:spacing w:before="0" w:after="0" w:line="240" w:lineRule="exact"/>
              <w:jc w:val="right"/>
              <w:rPr>
                <w:rFonts w:ascii="宋体" w:hAnsi="宋体" w:eastAsia="宋体" w:cs="宋体"/>
                <w:sz w:val="18"/>
                <w:szCs w:val="18"/>
              </w:rPr>
            </w:pPr>
          </w:p>
        </w:tc>
        <w:tc>
          <w:tcPr>
            <w:tcW w:w="1163" w:type="pct"/>
            <w:vAlign w:val="center"/>
          </w:tcPr>
          <w:p w14:paraId="1E459689">
            <w:pPr>
              <w:spacing w:before="0" w:after="0" w:line="240" w:lineRule="exact"/>
              <w:jc w:val="right"/>
              <w:rPr>
                <w:rFonts w:ascii="宋体" w:hAnsi="宋体" w:eastAsia="宋体" w:cs="宋体"/>
                <w:sz w:val="18"/>
                <w:szCs w:val="18"/>
              </w:rPr>
            </w:pPr>
          </w:p>
        </w:tc>
      </w:tr>
      <w:tr w14:paraId="3F419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701" w:type="pct"/>
            <w:shd w:val="clear" w:color="auto" w:fill="D3D3D3"/>
            <w:vAlign w:val="center"/>
          </w:tcPr>
          <w:p w14:paraId="308F9726">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拆入资金净增加额</w:t>
            </w:r>
          </w:p>
        </w:tc>
        <w:tc>
          <w:tcPr>
            <w:tcW w:w="1135" w:type="pct"/>
            <w:vAlign w:val="center"/>
          </w:tcPr>
          <w:p w14:paraId="60FBF8FD">
            <w:pPr>
              <w:spacing w:before="0" w:after="0" w:line="240" w:lineRule="exact"/>
              <w:jc w:val="right"/>
              <w:rPr>
                <w:rFonts w:ascii="宋体" w:hAnsi="宋体" w:eastAsia="宋体" w:cs="宋体"/>
                <w:sz w:val="18"/>
                <w:szCs w:val="18"/>
              </w:rPr>
            </w:pPr>
          </w:p>
        </w:tc>
        <w:tc>
          <w:tcPr>
            <w:tcW w:w="1163" w:type="pct"/>
            <w:vAlign w:val="center"/>
          </w:tcPr>
          <w:p w14:paraId="65F550D3">
            <w:pPr>
              <w:spacing w:before="0" w:after="0" w:line="240" w:lineRule="exact"/>
              <w:jc w:val="right"/>
              <w:rPr>
                <w:rFonts w:ascii="宋体" w:hAnsi="宋体" w:eastAsia="宋体" w:cs="宋体"/>
                <w:sz w:val="18"/>
                <w:szCs w:val="18"/>
              </w:rPr>
            </w:pPr>
          </w:p>
        </w:tc>
      </w:tr>
      <w:tr w14:paraId="79221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701" w:type="pct"/>
            <w:shd w:val="clear" w:color="auto" w:fill="D3D3D3"/>
            <w:vAlign w:val="center"/>
          </w:tcPr>
          <w:p w14:paraId="0E9BACE7">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回购业务资金净增加额</w:t>
            </w:r>
          </w:p>
        </w:tc>
        <w:tc>
          <w:tcPr>
            <w:tcW w:w="1135" w:type="pct"/>
            <w:vAlign w:val="center"/>
          </w:tcPr>
          <w:p w14:paraId="5D54D740">
            <w:pPr>
              <w:spacing w:before="0" w:after="0" w:line="240" w:lineRule="exact"/>
              <w:jc w:val="right"/>
              <w:rPr>
                <w:rFonts w:ascii="宋体" w:hAnsi="宋体" w:eastAsia="宋体" w:cs="宋体"/>
                <w:sz w:val="18"/>
                <w:szCs w:val="18"/>
              </w:rPr>
            </w:pPr>
          </w:p>
        </w:tc>
        <w:tc>
          <w:tcPr>
            <w:tcW w:w="1163" w:type="pct"/>
            <w:vAlign w:val="center"/>
          </w:tcPr>
          <w:p w14:paraId="3A22E3FA">
            <w:pPr>
              <w:spacing w:before="0" w:after="0" w:line="240" w:lineRule="exact"/>
              <w:jc w:val="right"/>
              <w:rPr>
                <w:rFonts w:ascii="宋体" w:hAnsi="宋体" w:eastAsia="宋体" w:cs="宋体"/>
                <w:sz w:val="18"/>
                <w:szCs w:val="18"/>
              </w:rPr>
            </w:pPr>
          </w:p>
        </w:tc>
      </w:tr>
      <w:tr w14:paraId="5BF1B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701" w:type="pct"/>
            <w:shd w:val="clear" w:color="auto" w:fill="D3D3D3"/>
            <w:vAlign w:val="center"/>
          </w:tcPr>
          <w:p w14:paraId="42008AC3">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代理买卖证券收到的现金净额</w:t>
            </w:r>
          </w:p>
        </w:tc>
        <w:tc>
          <w:tcPr>
            <w:tcW w:w="1135" w:type="pct"/>
            <w:vAlign w:val="center"/>
          </w:tcPr>
          <w:p w14:paraId="5F58CDC0">
            <w:pPr>
              <w:spacing w:before="0" w:after="0" w:line="240" w:lineRule="exact"/>
              <w:jc w:val="right"/>
              <w:rPr>
                <w:rFonts w:ascii="宋体" w:hAnsi="宋体" w:eastAsia="宋体" w:cs="宋体"/>
                <w:sz w:val="18"/>
                <w:szCs w:val="18"/>
              </w:rPr>
            </w:pPr>
          </w:p>
        </w:tc>
        <w:tc>
          <w:tcPr>
            <w:tcW w:w="1163" w:type="pct"/>
            <w:vAlign w:val="center"/>
          </w:tcPr>
          <w:p w14:paraId="3B693828">
            <w:pPr>
              <w:spacing w:before="0" w:after="0" w:line="240" w:lineRule="exact"/>
              <w:jc w:val="right"/>
              <w:rPr>
                <w:rFonts w:ascii="宋体" w:hAnsi="宋体" w:eastAsia="宋体" w:cs="宋体"/>
                <w:sz w:val="18"/>
                <w:szCs w:val="18"/>
              </w:rPr>
            </w:pPr>
          </w:p>
        </w:tc>
      </w:tr>
      <w:tr w14:paraId="5636A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701" w:type="pct"/>
            <w:shd w:val="clear" w:color="auto" w:fill="D3D3D3"/>
            <w:vAlign w:val="center"/>
          </w:tcPr>
          <w:p w14:paraId="1A520B32">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收到的税费返还</w:t>
            </w:r>
          </w:p>
        </w:tc>
        <w:tc>
          <w:tcPr>
            <w:tcW w:w="1135" w:type="pct"/>
            <w:vAlign w:val="center"/>
          </w:tcPr>
          <w:p w14:paraId="296F127C">
            <w:pPr>
              <w:spacing w:before="0" w:after="0" w:line="240" w:lineRule="exact"/>
              <w:jc w:val="right"/>
              <w:rPr>
                <w:rFonts w:ascii="宋体" w:hAnsi="宋体" w:eastAsia="宋体" w:cs="宋体"/>
                <w:sz w:val="18"/>
                <w:szCs w:val="18"/>
              </w:rPr>
            </w:pPr>
            <w:r>
              <w:rPr>
                <w:rFonts w:ascii="宋体" w:hAnsi="宋体" w:eastAsia="宋体" w:cs="宋体"/>
                <w:sz w:val="18"/>
                <w:szCs w:val="18"/>
              </w:rPr>
              <w:t>35,365.97</w:t>
            </w:r>
          </w:p>
        </w:tc>
        <w:tc>
          <w:tcPr>
            <w:tcW w:w="1163" w:type="pct"/>
            <w:vAlign w:val="center"/>
          </w:tcPr>
          <w:p w14:paraId="0C86A529">
            <w:pPr>
              <w:spacing w:before="0" w:after="0" w:line="240" w:lineRule="exact"/>
              <w:jc w:val="right"/>
              <w:rPr>
                <w:rFonts w:ascii="宋体" w:hAnsi="宋体" w:eastAsia="宋体" w:cs="宋体"/>
                <w:sz w:val="18"/>
                <w:szCs w:val="18"/>
              </w:rPr>
            </w:pPr>
            <w:r>
              <w:rPr>
                <w:rFonts w:ascii="宋体" w:hAnsi="宋体" w:eastAsia="宋体" w:cs="宋体"/>
                <w:sz w:val="18"/>
                <w:szCs w:val="18"/>
              </w:rPr>
              <w:t>34,148.12</w:t>
            </w:r>
          </w:p>
        </w:tc>
      </w:tr>
      <w:tr w14:paraId="0E119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701" w:type="pct"/>
            <w:shd w:val="clear" w:color="auto" w:fill="D3D3D3"/>
            <w:vAlign w:val="center"/>
          </w:tcPr>
          <w:p w14:paraId="0E70B0E6">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收到其他与经营活动有关的现金</w:t>
            </w:r>
          </w:p>
        </w:tc>
        <w:tc>
          <w:tcPr>
            <w:tcW w:w="1135" w:type="pct"/>
            <w:vAlign w:val="center"/>
          </w:tcPr>
          <w:p w14:paraId="0F5A1CC5">
            <w:pPr>
              <w:spacing w:before="0" w:after="0" w:line="240" w:lineRule="exact"/>
              <w:jc w:val="right"/>
              <w:rPr>
                <w:rFonts w:ascii="宋体" w:hAnsi="宋体" w:eastAsia="宋体" w:cs="宋体"/>
                <w:sz w:val="18"/>
                <w:szCs w:val="18"/>
              </w:rPr>
            </w:pPr>
            <w:r>
              <w:rPr>
                <w:rFonts w:ascii="宋体" w:hAnsi="宋体" w:eastAsia="宋体" w:cs="宋体"/>
                <w:sz w:val="18"/>
                <w:szCs w:val="18"/>
              </w:rPr>
              <w:t>3,522,111.52</w:t>
            </w:r>
          </w:p>
        </w:tc>
        <w:tc>
          <w:tcPr>
            <w:tcW w:w="1163" w:type="pct"/>
            <w:vAlign w:val="center"/>
          </w:tcPr>
          <w:p w14:paraId="49F383A1">
            <w:pPr>
              <w:spacing w:before="0" w:after="0" w:line="240" w:lineRule="exact"/>
              <w:jc w:val="right"/>
              <w:rPr>
                <w:rFonts w:ascii="宋体" w:hAnsi="宋体" w:eastAsia="宋体" w:cs="宋体"/>
                <w:sz w:val="18"/>
                <w:szCs w:val="18"/>
              </w:rPr>
            </w:pPr>
            <w:r>
              <w:rPr>
                <w:rFonts w:ascii="宋体" w:hAnsi="宋体" w:eastAsia="宋体" w:cs="宋体"/>
                <w:sz w:val="18"/>
                <w:szCs w:val="18"/>
              </w:rPr>
              <w:t>3,654,996.12</w:t>
            </w:r>
          </w:p>
        </w:tc>
      </w:tr>
      <w:tr w14:paraId="6EBAE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701" w:type="pct"/>
            <w:shd w:val="clear" w:color="auto" w:fill="D3D3D3"/>
            <w:vAlign w:val="center"/>
          </w:tcPr>
          <w:p w14:paraId="14FC7A5B">
            <w:pPr>
              <w:spacing w:before="0" w:after="0" w:line="240" w:lineRule="exact"/>
              <w:jc w:val="left"/>
              <w:rPr>
                <w:rFonts w:ascii="宋体" w:hAnsi="宋体" w:eastAsia="宋体" w:cs="宋体"/>
                <w:sz w:val="18"/>
                <w:szCs w:val="18"/>
              </w:rPr>
            </w:pPr>
            <w:r>
              <w:rPr>
                <w:rFonts w:ascii="宋体" w:hAnsi="宋体" w:eastAsia="宋体" w:cs="宋体"/>
                <w:sz w:val="18"/>
                <w:szCs w:val="18"/>
              </w:rPr>
              <w:t>经营活动现金流入小计</w:t>
            </w:r>
          </w:p>
        </w:tc>
        <w:tc>
          <w:tcPr>
            <w:tcW w:w="1135" w:type="pct"/>
            <w:vAlign w:val="center"/>
          </w:tcPr>
          <w:p w14:paraId="1D08B0D0">
            <w:pPr>
              <w:spacing w:before="0" w:after="0" w:line="240" w:lineRule="exact"/>
              <w:jc w:val="right"/>
              <w:rPr>
                <w:rFonts w:ascii="宋体" w:hAnsi="宋体" w:eastAsia="宋体" w:cs="宋体"/>
                <w:sz w:val="18"/>
                <w:szCs w:val="18"/>
              </w:rPr>
            </w:pPr>
            <w:r>
              <w:rPr>
                <w:rFonts w:ascii="宋体" w:hAnsi="宋体" w:eastAsia="宋体" w:cs="宋体"/>
                <w:sz w:val="18"/>
                <w:szCs w:val="18"/>
              </w:rPr>
              <w:t>148,417,319.26</w:t>
            </w:r>
          </w:p>
        </w:tc>
        <w:tc>
          <w:tcPr>
            <w:tcW w:w="1163" w:type="pct"/>
            <w:vAlign w:val="center"/>
          </w:tcPr>
          <w:p w14:paraId="7D6BCEAB">
            <w:pPr>
              <w:spacing w:before="0" w:after="0" w:line="240" w:lineRule="exact"/>
              <w:jc w:val="right"/>
              <w:rPr>
                <w:rFonts w:ascii="宋体" w:hAnsi="宋体" w:eastAsia="宋体" w:cs="宋体"/>
                <w:sz w:val="18"/>
                <w:szCs w:val="18"/>
              </w:rPr>
            </w:pPr>
            <w:r>
              <w:rPr>
                <w:rFonts w:ascii="宋体" w:hAnsi="宋体" w:eastAsia="宋体" w:cs="宋体"/>
                <w:sz w:val="18"/>
                <w:szCs w:val="18"/>
              </w:rPr>
              <w:t>136,662,041.46</w:t>
            </w:r>
          </w:p>
        </w:tc>
      </w:tr>
      <w:tr w14:paraId="35831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701" w:type="pct"/>
            <w:shd w:val="clear" w:color="auto" w:fill="D3D3D3"/>
            <w:vAlign w:val="center"/>
          </w:tcPr>
          <w:p w14:paraId="4B11DC9C">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购买商品、接受劳务支付的现金</w:t>
            </w:r>
          </w:p>
        </w:tc>
        <w:tc>
          <w:tcPr>
            <w:tcW w:w="1135" w:type="pct"/>
            <w:vAlign w:val="center"/>
          </w:tcPr>
          <w:p w14:paraId="73D8922B">
            <w:pPr>
              <w:spacing w:before="0" w:after="0" w:line="240" w:lineRule="exact"/>
              <w:jc w:val="right"/>
              <w:rPr>
                <w:rFonts w:ascii="宋体" w:hAnsi="宋体" w:eastAsia="宋体" w:cs="宋体"/>
                <w:sz w:val="18"/>
                <w:szCs w:val="18"/>
              </w:rPr>
            </w:pPr>
            <w:r>
              <w:rPr>
                <w:rFonts w:ascii="宋体" w:hAnsi="宋体" w:eastAsia="宋体" w:cs="宋体"/>
                <w:sz w:val="18"/>
                <w:szCs w:val="18"/>
              </w:rPr>
              <w:t>98,559,600.67</w:t>
            </w:r>
          </w:p>
        </w:tc>
        <w:tc>
          <w:tcPr>
            <w:tcW w:w="1163" w:type="pct"/>
            <w:vAlign w:val="center"/>
          </w:tcPr>
          <w:p w14:paraId="7C3B8C4A">
            <w:pPr>
              <w:spacing w:before="0" w:after="0" w:line="240" w:lineRule="exact"/>
              <w:jc w:val="right"/>
              <w:rPr>
                <w:rFonts w:ascii="宋体" w:hAnsi="宋体" w:eastAsia="宋体" w:cs="宋体"/>
                <w:sz w:val="18"/>
                <w:szCs w:val="18"/>
              </w:rPr>
            </w:pPr>
            <w:r>
              <w:rPr>
                <w:rFonts w:ascii="宋体" w:hAnsi="宋体" w:eastAsia="宋体" w:cs="宋体"/>
                <w:sz w:val="18"/>
                <w:szCs w:val="18"/>
              </w:rPr>
              <w:t>100,357,556.09</w:t>
            </w:r>
          </w:p>
        </w:tc>
      </w:tr>
      <w:tr w14:paraId="61440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701" w:type="pct"/>
            <w:shd w:val="clear" w:color="auto" w:fill="D3D3D3"/>
            <w:vAlign w:val="center"/>
          </w:tcPr>
          <w:p w14:paraId="3AC228F1">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客户贷款及垫款净增加额</w:t>
            </w:r>
          </w:p>
        </w:tc>
        <w:tc>
          <w:tcPr>
            <w:tcW w:w="1135" w:type="pct"/>
            <w:vAlign w:val="center"/>
          </w:tcPr>
          <w:p w14:paraId="0671220F">
            <w:pPr>
              <w:spacing w:before="0" w:after="0" w:line="240" w:lineRule="exact"/>
              <w:jc w:val="right"/>
              <w:rPr>
                <w:rFonts w:ascii="宋体" w:hAnsi="宋体" w:eastAsia="宋体" w:cs="宋体"/>
                <w:sz w:val="18"/>
                <w:szCs w:val="18"/>
              </w:rPr>
            </w:pPr>
          </w:p>
        </w:tc>
        <w:tc>
          <w:tcPr>
            <w:tcW w:w="1163" w:type="pct"/>
            <w:vAlign w:val="center"/>
          </w:tcPr>
          <w:p w14:paraId="3091F03D">
            <w:pPr>
              <w:spacing w:before="0" w:after="0" w:line="240" w:lineRule="exact"/>
              <w:jc w:val="right"/>
              <w:rPr>
                <w:rFonts w:ascii="宋体" w:hAnsi="宋体" w:eastAsia="宋体" w:cs="宋体"/>
                <w:sz w:val="18"/>
                <w:szCs w:val="18"/>
              </w:rPr>
            </w:pPr>
          </w:p>
        </w:tc>
      </w:tr>
      <w:tr w14:paraId="7A801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701" w:type="pct"/>
            <w:shd w:val="clear" w:color="auto" w:fill="D3D3D3"/>
            <w:vAlign w:val="center"/>
          </w:tcPr>
          <w:p w14:paraId="41FCECC0">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存放中央银行和同业款项净增加额</w:t>
            </w:r>
          </w:p>
        </w:tc>
        <w:tc>
          <w:tcPr>
            <w:tcW w:w="1135" w:type="pct"/>
            <w:vAlign w:val="center"/>
          </w:tcPr>
          <w:p w14:paraId="4569E6CD">
            <w:pPr>
              <w:spacing w:before="0" w:after="0" w:line="240" w:lineRule="exact"/>
              <w:jc w:val="right"/>
              <w:rPr>
                <w:rFonts w:ascii="宋体" w:hAnsi="宋体" w:eastAsia="宋体" w:cs="宋体"/>
                <w:sz w:val="18"/>
                <w:szCs w:val="18"/>
              </w:rPr>
            </w:pPr>
          </w:p>
        </w:tc>
        <w:tc>
          <w:tcPr>
            <w:tcW w:w="1163" w:type="pct"/>
            <w:vAlign w:val="center"/>
          </w:tcPr>
          <w:p w14:paraId="45646695">
            <w:pPr>
              <w:spacing w:before="0" w:after="0" w:line="240" w:lineRule="exact"/>
              <w:jc w:val="right"/>
              <w:rPr>
                <w:rFonts w:ascii="宋体" w:hAnsi="宋体" w:eastAsia="宋体" w:cs="宋体"/>
                <w:sz w:val="18"/>
                <w:szCs w:val="18"/>
              </w:rPr>
            </w:pPr>
          </w:p>
        </w:tc>
      </w:tr>
      <w:tr w14:paraId="4A771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701" w:type="pct"/>
            <w:shd w:val="clear" w:color="auto" w:fill="D3D3D3"/>
            <w:vAlign w:val="center"/>
          </w:tcPr>
          <w:p w14:paraId="23A47545">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支付原保险合同赔付款项的现金</w:t>
            </w:r>
          </w:p>
        </w:tc>
        <w:tc>
          <w:tcPr>
            <w:tcW w:w="1135" w:type="pct"/>
            <w:vAlign w:val="center"/>
          </w:tcPr>
          <w:p w14:paraId="13C05740">
            <w:pPr>
              <w:spacing w:before="0" w:after="0" w:line="240" w:lineRule="exact"/>
              <w:jc w:val="right"/>
              <w:rPr>
                <w:rFonts w:ascii="宋体" w:hAnsi="宋体" w:eastAsia="宋体" w:cs="宋体"/>
                <w:sz w:val="18"/>
                <w:szCs w:val="18"/>
              </w:rPr>
            </w:pPr>
          </w:p>
        </w:tc>
        <w:tc>
          <w:tcPr>
            <w:tcW w:w="1163" w:type="pct"/>
            <w:vAlign w:val="center"/>
          </w:tcPr>
          <w:p w14:paraId="07CFD20F">
            <w:pPr>
              <w:spacing w:before="0" w:after="0" w:line="240" w:lineRule="exact"/>
              <w:jc w:val="right"/>
              <w:rPr>
                <w:rFonts w:ascii="宋体" w:hAnsi="宋体" w:eastAsia="宋体" w:cs="宋体"/>
                <w:sz w:val="18"/>
                <w:szCs w:val="18"/>
              </w:rPr>
            </w:pPr>
          </w:p>
        </w:tc>
      </w:tr>
      <w:tr w14:paraId="56BCC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701" w:type="pct"/>
            <w:shd w:val="clear" w:color="auto" w:fill="D3D3D3"/>
            <w:vAlign w:val="center"/>
          </w:tcPr>
          <w:p w14:paraId="60257925">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拆出资金净增加额</w:t>
            </w:r>
          </w:p>
        </w:tc>
        <w:tc>
          <w:tcPr>
            <w:tcW w:w="1135" w:type="pct"/>
            <w:vAlign w:val="center"/>
          </w:tcPr>
          <w:p w14:paraId="510D095F">
            <w:pPr>
              <w:spacing w:before="0" w:after="0" w:line="240" w:lineRule="exact"/>
              <w:jc w:val="right"/>
              <w:rPr>
                <w:rFonts w:ascii="宋体" w:hAnsi="宋体" w:eastAsia="宋体" w:cs="宋体"/>
                <w:sz w:val="18"/>
                <w:szCs w:val="18"/>
              </w:rPr>
            </w:pPr>
          </w:p>
        </w:tc>
        <w:tc>
          <w:tcPr>
            <w:tcW w:w="1163" w:type="pct"/>
            <w:vAlign w:val="center"/>
          </w:tcPr>
          <w:p w14:paraId="02DAEAEE">
            <w:pPr>
              <w:spacing w:before="0" w:after="0" w:line="240" w:lineRule="exact"/>
              <w:jc w:val="right"/>
              <w:rPr>
                <w:rFonts w:ascii="宋体" w:hAnsi="宋体" w:eastAsia="宋体" w:cs="宋体"/>
                <w:sz w:val="18"/>
                <w:szCs w:val="18"/>
              </w:rPr>
            </w:pPr>
          </w:p>
        </w:tc>
      </w:tr>
      <w:tr w14:paraId="1F95F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701" w:type="pct"/>
            <w:shd w:val="clear" w:color="auto" w:fill="D3D3D3"/>
            <w:vAlign w:val="center"/>
          </w:tcPr>
          <w:p w14:paraId="7E1272A7">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支付利息、手续费及佣金的现金</w:t>
            </w:r>
          </w:p>
        </w:tc>
        <w:tc>
          <w:tcPr>
            <w:tcW w:w="1135" w:type="pct"/>
            <w:vAlign w:val="center"/>
          </w:tcPr>
          <w:p w14:paraId="1CD614D3">
            <w:pPr>
              <w:spacing w:before="0" w:after="0" w:line="240" w:lineRule="exact"/>
              <w:jc w:val="right"/>
              <w:rPr>
                <w:rFonts w:ascii="宋体" w:hAnsi="宋体" w:eastAsia="宋体" w:cs="宋体"/>
                <w:sz w:val="18"/>
                <w:szCs w:val="18"/>
              </w:rPr>
            </w:pPr>
          </w:p>
        </w:tc>
        <w:tc>
          <w:tcPr>
            <w:tcW w:w="1163" w:type="pct"/>
            <w:vAlign w:val="center"/>
          </w:tcPr>
          <w:p w14:paraId="53B0F768">
            <w:pPr>
              <w:spacing w:before="0" w:after="0" w:line="240" w:lineRule="exact"/>
              <w:jc w:val="right"/>
              <w:rPr>
                <w:rFonts w:ascii="宋体" w:hAnsi="宋体" w:eastAsia="宋体" w:cs="宋体"/>
                <w:sz w:val="18"/>
                <w:szCs w:val="18"/>
              </w:rPr>
            </w:pPr>
          </w:p>
        </w:tc>
      </w:tr>
      <w:tr w14:paraId="34F1E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701" w:type="pct"/>
            <w:shd w:val="clear" w:color="auto" w:fill="D3D3D3"/>
            <w:vAlign w:val="center"/>
          </w:tcPr>
          <w:p w14:paraId="404AF28C">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支付保单红利的现金</w:t>
            </w:r>
          </w:p>
        </w:tc>
        <w:tc>
          <w:tcPr>
            <w:tcW w:w="1135" w:type="pct"/>
            <w:vAlign w:val="center"/>
          </w:tcPr>
          <w:p w14:paraId="1D0A8186">
            <w:pPr>
              <w:spacing w:before="0" w:after="0" w:line="240" w:lineRule="exact"/>
              <w:jc w:val="right"/>
              <w:rPr>
                <w:rFonts w:ascii="宋体" w:hAnsi="宋体" w:eastAsia="宋体" w:cs="宋体"/>
                <w:sz w:val="18"/>
                <w:szCs w:val="18"/>
              </w:rPr>
            </w:pPr>
          </w:p>
        </w:tc>
        <w:tc>
          <w:tcPr>
            <w:tcW w:w="1163" w:type="pct"/>
            <w:vAlign w:val="center"/>
          </w:tcPr>
          <w:p w14:paraId="3FD41B95">
            <w:pPr>
              <w:spacing w:before="0" w:after="0" w:line="240" w:lineRule="exact"/>
              <w:jc w:val="right"/>
              <w:rPr>
                <w:rFonts w:ascii="宋体" w:hAnsi="宋体" w:eastAsia="宋体" w:cs="宋体"/>
                <w:sz w:val="18"/>
                <w:szCs w:val="18"/>
              </w:rPr>
            </w:pPr>
          </w:p>
        </w:tc>
      </w:tr>
      <w:tr w14:paraId="60D32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701" w:type="pct"/>
            <w:shd w:val="clear" w:color="auto" w:fill="D3D3D3"/>
            <w:vAlign w:val="center"/>
          </w:tcPr>
          <w:p w14:paraId="5E3A819C">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支付给职工以及为职工支付的现金</w:t>
            </w:r>
          </w:p>
        </w:tc>
        <w:tc>
          <w:tcPr>
            <w:tcW w:w="1135" w:type="pct"/>
            <w:vAlign w:val="center"/>
          </w:tcPr>
          <w:p w14:paraId="7D6E7D8F">
            <w:pPr>
              <w:spacing w:before="0" w:after="0" w:line="240" w:lineRule="exact"/>
              <w:jc w:val="right"/>
              <w:rPr>
                <w:rFonts w:ascii="宋体" w:hAnsi="宋体" w:eastAsia="宋体" w:cs="宋体"/>
                <w:sz w:val="18"/>
                <w:szCs w:val="18"/>
              </w:rPr>
            </w:pPr>
            <w:r>
              <w:rPr>
                <w:rFonts w:ascii="宋体" w:hAnsi="宋体" w:eastAsia="宋体" w:cs="宋体"/>
                <w:sz w:val="18"/>
                <w:szCs w:val="18"/>
              </w:rPr>
              <w:t>19,615,368.62</w:t>
            </w:r>
          </w:p>
        </w:tc>
        <w:tc>
          <w:tcPr>
            <w:tcW w:w="1163" w:type="pct"/>
            <w:vAlign w:val="center"/>
          </w:tcPr>
          <w:p w14:paraId="64224E7C">
            <w:pPr>
              <w:spacing w:before="0" w:after="0" w:line="240" w:lineRule="exact"/>
              <w:jc w:val="right"/>
              <w:rPr>
                <w:rFonts w:ascii="宋体" w:hAnsi="宋体" w:eastAsia="宋体" w:cs="宋体"/>
                <w:sz w:val="18"/>
                <w:szCs w:val="18"/>
              </w:rPr>
            </w:pPr>
            <w:r>
              <w:rPr>
                <w:rFonts w:ascii="宋体" w:hAnsi="宋体" w:eastAsia="宋体" w:cs="宋体"/>
                <w:sz w:val="18"/>
                <w:szCs w:val="18"/>
              </w:rPr>
              <w:t>17,424,197.61</w:t>
            </w:r>
          </w:p>
        </w:tc>
      </w:tr>
      <w:tr w14:paraId="60859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701" w:type="pct"/>
            <w:shd w:val="clear" w:color="auto" w:fill="D3D3D3"/>
            <w:vAlign w:val="center"/>
          </w:tcPr>
          <w:p w14:paraId="7AA107A9">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支付的各项税费</w:t>
            </w:r>
          </w:p>
        </w:tc>
        <w:tc>
          <w:tcPr>
            <w:tcW w:w="1135" w:type="pct"/>
            <w:vAlign w:val="center"/>
          </w:tcPr>
          <w:p w14:paraId="7E04CE08">
            <w:pPr>
              <w:spacing w:before="0" w:after="0" w:line="240" w:lineRule="exact"/>
              <w:jc w:val="right"/>
              <w:rPr>
                <w:rFonts w:ascii="宋体" w:hAnsi="宋体" w:eastAsia="宋体" w:cs="宋体"/>
                <w:sz w:val="18"/>
                <w:szCs w:val="18"/>
              </w:rPr>
            </w:pPr>
            <w:r>
              <w:rPr>
                <w:rFonts w:ascii="宋体" w:hAnsi="宋体" w:eastAsia="宋体" w:cs="宋体"/>
                <w:sz w:val="18"/>
                <w:szCs w:val="18"/>
              </w:rPr>
              <w:t>17,288,027.38</w:t>
            </w:r>
          </w:p>
        </w:tc>
        <w:tc>
          <w:tcPr>
            <w:tcW w:w="1163" w:type="pct"/>
            <w:vAlign w:val="center"/>
          </w:tcPr>
          <w:p w14:paraId="58772C38">
            <w:pPr>
              <w:spacing w:before="0" w:after="0" w:line="240" w:lineRule="exact"/>
              <w:jc w:val="right"/>
              <w:rPr>
                <w:rFonts w:ascii="宋体" w:hAnsi="宋体" w:eastAsia="宋体" w:cs="宋体"/>
                <w:sz w:val="18"/>
                <w:szCs w:val="18"/>
              </w:rPr>
            </w:pPr>
            <w:r>
              <w:rPr>
                <w:rFonts w:ascii="宋体" w:hAnsi="宋体" w:eastAsia="宋体" w:cs="宋体"/>
                <w:sz w:val="18"/>
                <w:szCs w:val="18"/>
              </w:rPr>
              <w:t>13,364,213.53</w:t>
            </w:r>
          </w:p>
        </w:tc>
      </w:tr>
      <w:tr w14:paraId="5715D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701" w:type="pct"/>
            <w:shd w:val="clear" w:color="auto" w:fill="D3D3D3"/>
            <w:vAlign w:val="center"/>
          </w:tcPr>
          <w:p w14:paraId="336F4A55">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支付其他与经营活动有关的现金</w:t>
            </w:r>
          </w:p>
        </w:tc>
        <w:tc>
          <w:tcPr>
            <w:tcW w:w="1135" w:type="pct"/>
            <w:vAlign w:val="center"/>
          </w:tcPr>
          <w:p w14:paraId="4E95F1E6">
            <w:pPr>
              <w:spacing w:before="0" w:after="0" w:line="240" w:lineRule="exact"/>
              <w:jc w:val="right"/>
              <w:rPr>
                <w:rFonts w:ascii="宋体" w:hAnsi="宋体" w:eastAsia="宋体" w:cs="宋体"/>
                <w:sz w:val="18"/>
                <w:szCs w:val="18"/>
              </w:rPr>
            </w:pPr>
            <w:r>
              <w:rPr>
                <w:rFonts w:ascii="宋体" w:hAnsi="宋体" w:eastAsia="宋体" w:cs="宋体"/>
                <w:sz w:val="18"/>
                <w:szCs w:val="18"/>
              </w:rPr>
              <w:t>7,457,357.45</w:t>
            </w:r>
          </w:p>
        </w:tc>
        <w:tc>
          <w:tcPr>
            <w:tcW w:w="1163" w:type="pct"/>
            <w:vAlign w:val="center"/>
          </w:tcPr>
          <w:p w14:paraId="44695F8B">
            <w:pPr>
              <w:spacing w:before="0" w:after="0" w:line="240" w:lineRule="exact"/>
              <w:jc w:val="right"/>
              <w:rPr>
                <w:rFonts w:ascii="宋体" w:hAnsi="宋体" w:eastAsia="宋体" w:cs="宋体"/>
                <w:sz w:val="18"/>
                <w:szCs w:val="18"/>
              </w:rPr>
            </w:pPr>
            <w:r>
              <w:rPr>
                <w:rFonts w:ascii="宋体" w:hAnsi="宋体" w:eastAsia="宋体" w:cs="宋体"/>
                <w:sz w:val="18"/>
                <w:szCs w:val="18"/>
              </w:rPr>
              <w:t>5,912,868.49</w:t>
            </w:r>
          </w:p>
        </w:tc>
      </w:tr>
      <w:tr w14:paraId="6B050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701" w:type="pct"/>
            <w:shd w:val="clear" w:color="auto" w:fill="D3D3D3"/>
            <w:vAlign w:val="center"/>
          </w:tcPr>
          <w:p w14:paraId="3895CCBA">
            <w:pPr>
              <w:spacing w:before="0" w:after="0" w:line="240" w:lineRule="exact"/>
              <w:jc w:val="left"/>
              <w:rPr>
                <w:rFonts w:ascii="宋体" w:hAnsi="宋体" w:eastAsia="宋体" w:cs="宋体"/>
                <w:sz w:val="18"/>
                <w:szCs w:val="18"/>
              </w:rPr>
            </w:pPr>
            <w:r>
              <w:rPr>
                <w:rFonts w:ascii="宋体" w:hAnsi="宋体" w:eastAsia="宋体" w:cs="宋体"/>
                <w:sz w:val="18"/>
                <w:szCs w:val="18"/>
              </w:rPr>
              <w:t>经营活动现金流出小计</w:t>
            </w:r>
          </w:p>
        </w:tc>
        <w:tc>
          <w:tcPr>
            <w:tcW w:w="1135" w:type="pct"/>
            <w:vAlign w:val="center"/>
          </w:tcPr>
          <w:p w14:paraId="1A8187E2">
            <w:pPr>
              <w:spacing w:before="0" w:after="0" w:line="240" w:lineRule="exact"/>
              <w:jc w:val="right"/>
              <w:rPr>
                <w:rFonts w:ascii="宋体" w:hAnsi="宋体" w:eastAsia="宋体" w:cs="宋体"/>
                <w:sz w:val="18"/>
                <w:szCs w:val="18"/>
              </w:rPr>
            </w:pPr>
            <w:r>
              <w:rPr>
                <w:rFonts w:ascii="宋体" w:hAnsi="宋体" w:eastAsia="宋体" w:cs="宋体"/>
                <w:sz w:val="18"/>
                <w:szCs w:val="18"/>
              </w:rPr>
              <w:t>142,920,354.12</w:t>
            </w:r>
          </w:p>
        </w:tc>
        <w:tc>
          <w:tcPr>
            <w:tcW w:w="1163" w:type="pct"/>
            <w:vAlign w:val="center"/>
          </w:tcPr>
          <w:p w14:paraId="2BDC1B39">
            <w:pPr>
              <w:spacing w:before="0" w:after="0" w:line="240" w:lineRule="exact"/>
              <w:jc w:val="right"/>
              <w:rPr>
                <w:rFonts w:ascii="宋体" w:hAnsi="宋体" w:eastAsia="宋体" w:cs="宋体"/>
                <w:sz w:val="18"/>
                <w:szCs w:val="18"/>
              </w:rPr>
            </w:pPr>
            <w:r>
              <w:rPr>
                <w:rFonts w:ascii="宋体" w:hAnsi="宋体" w:eastAsia="宋体" w:cs="宋体"/>
                <w:sz w:val="18"/>
                <w:szCs w:val="18"/>
              </w:rPr>
              <w:t>137,058,835.72</w:t>
            </w:r>
          </w:p>
        </w:tc>
      </w:tr>
      <w:tr w14:paraId="03695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701" w:type="pct"/>
            <w:shd w:val="clear" w:color="auto" w:fill="D3D3D3"/>
            <w:vAlign w:val="center"/>
          </w:tcPr>
          <w:p w14:paraId="387E81C6">
            <w:pPr>
              <w:spacing w:before="0" w:after="0" w:line="240" w:lineRule="exact"/>
              <w:jc w:val="left"/>
              <w:rPr>
                <w:rFonts w:ascii="宋体" w:hAnsi="宋体" w:eastAsia="宋体" w:cs="宋体"/>
                <w:sz w:val="18"/>
                <w:szCs w:val="18"/>
              </w:rPr>
            </w:pPr>
            <w:r>
              <w:rPr>
                <w:rFonts w:ascii="宋体" w:hAnsi="宋体" w:eastAsia="宋体" w:cs="宋体"/>
                <w:sz w:val="18"/>
                <w:szCs w:val="18"/>
              </w:rPr>
              <w:t>经营活动产生的现金流量净额</w:t>
            </w:r>
          </w:p>
        </w:tc>
        <w:tc>
          <w:tcPr>
            <w:tcW w:w="1135" w:type="pct"/>
            <w:vAlign w:val="center"/>
          </w:tcPr>
          <w:p w14:paraId="597BA6AF">
            <w:pPr>
              <w:spacing w:before="0" w:after="0" w:line="240" w:lineRule="exact"/>
              <w:jc w:val="right"/>
              <w:rPr>
                <w:rFonts w:ascii="宋体" w:hAnsi="宋体" w:eastAsia="宋体" w:cs="宋体"/>
                <w:sz w:val="18"/>
                <w:szCs w:val="18"/>
              </w:rPr>
            </w:pPr>
            <w:r>
              <w:rPr>
                <w:rFonts w:ascii="宋体" w:hAnsi="宋体" w:eastAsia="宋体" w:cs="宋体"/>
                <w:sz w:val="18"/>
                <w:szCs w:val="18"/>
              </w:rPr>
              <w:t>5,496,965.14</w:t>
            </w:r>
          </w:p>
        </w:tc>
        <w:tc>
          <w:tcPr>
            <w:tcW w:w="1163" w:type="pct"/>
            <w:vAlign w:val="center"/>
          </w:tcPr>
          <w:p w14:paraId="01C4C237">
            <w:pPr>
              <w:spacing w:before="0" w:after="0" w:line="240" w:lineRule="exact"/>
              <w:jc w:val="right"/>
              <w:rPr>
                <w:rFonts w:ascii="宋体" w:hAnsi="宋体" w:eastAsia="宋体" w:cs="宋体"/>
                <w:sz w:val="18"/>
                <w:szCs w:val="18"/>
              </w:rPr>
            </w:pPr>
            <w:r>
              <w:rPr>
                <w:rFonts w:ascii="宋体" w:hAnsi="宋体" w:eastAsia="宋体" w:cs="宋体"/>
                <w:sz w:val="18"/>
                <w:szCs w:val="18"/>
              </w:rPr>
              <w:t>-396,794.26</w:t>
            </w:r>
          </w:p>
        </w:tc>
      </w:tr>
      <w:tr w14:paraId="3D424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701" w:type="pct"/>
            <w:shd w:val="clear" w:color="auto" w:fill="D3D3D3"/>
            <w:vAlign w:val="center"/>
          </w:tcPr>
          <w:p w14:paraId="67867E9D">
            <w:pPr>
              <w:spacing w:before="0" w:after="0" w:line="240" w:lineRule="exact"/>
              <w:jc w:val="left"/>
              <w:rPr>
                <w:rFonts w:ascii="宋体" w:hAnsi="宋体" w:eastAsia="宋体" w:cs="宋体"/>
                <w:sz w:val="18"/>
                <w:szCs w:val="18"/>
              </w:rPr>
            </w:pPr>
            <w:r>
              <w:rPr>
                <w:rFonts w:ascii="宋体" w:hAnsi="宋体" w:eastAsia="宋体" w:cs="宋体"/>
                <w:sz w:val="18"/>
                <w:szCs w:val="18"/>
              </w:rPr>
              <w:t>二、投资活动产生的现金流量：</w:t>
            </w:r>
          </w:p>
        </w:tc>
        <w:tc>
          <w:tcPr>
            <w:tcW w:w="1135" w:type="pct"/>
            <w:shd w:val="clear" w:color="auto" w:fill="D3D3D3"/>
            <w:vAlign w:val="center"/>
          </w:tcPr>
          <w:p w14:paraId="7FFD737C"/>
        </w:tc>
        <w:tc>
          <w:tcPr>
            <w:tcW w:w="1163" w:type="pct"/>
            <w:shd w:val="clear" w:color="auto" w:fill="D3D3D3"/>
            <w:vAlign w:val="center"/>
          </w:tcPr>
          <w:p w14:paraId="00A426D3"/>
        </w:tc>
      </w:tr>
      <w:tr w14:paraId="6952D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701" w:type="pct"/>
            <w:shd w:val="clear" w:color="auto" w:fill="D3D3D3"/>
            <w:vAlign w:val="center"/>
          </w:tcPr>
          <w:p w14:paraId="41415244">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收回投资收到的现金</w:t>
            </w:r>
          </w:p>
        </w:tc>
        <w:tc>
          <w:tcPr>
            <w:tcW w:w="1135" w:type="pct"/>
            <w:vAlign w:val="center"/>
          </w:tcPr>
          <w:p w14:paraId="7E555F6D">
            <w:pPr>
              <w:spacing w:before="0" w:after="0" w:line="240" w:lineRule="exact"/>
              <w:jc w:val="right"/>
              <w:rPr>
                <w:rFonts w:ascii="宋体" w:hAnsi="宋体" w:eastAsia="宋体" w:cs="宋体"/>
                <w:sz w:val="18"/>
                <w:szCs w:val="18"/>
              </w:rPr>
            </w:pPr>
            <w:r>
              <w:rPr>
                <w:rFonts w:ascii="宋体" w:hAnsi="宋体" w:eastAsia="宋体" w:cs="宋体"/>
                <w:sz w:val="18"/>
                <w:szCs w:val="18"/>
              </w:rPr>
              <w:t>515,009,000.00</w:t>
            </w:r>
          </w:p>
        </w:tc>
        <w:tc>
          <w:tcPr>
            <w:tcW w:w="1163" w:type="pct"/>
            <w:vAlign w:val="center"/>
          </w:tcPr>
          <w:p w14:paraId="2214DB3D">
            <w:pPr>
              <w:spacing w:before="0" w:after="0" w:line="240" w:lineRule="exact"/>
              <w:jc w:val="right"/>
              <w:rPr>
                <w:rFonts w:ascii="宋体" w:hAnsi="宋体" w:eastAsia="宋体" w:cs="宋体"/>
                <w:sz w:val="18"/>
                <w:szCs w:val="18"/>
              </w:rPr>
            </w:pPr>
            <w:r>
              <w:rPr>
                <w:rFonts w:ascii="宋体" w:hAnsi="宋体" w:eastAsia="宋体" w:cs="宋体"/>
                <w:sz w:val="18"/>
                <w:szCs w:val="18"/>
              </w:rPr>
              <w:t>790,000,000.00</w:t>
            </w:r>
          </w:p>
        </w:tc>
      </w:tr>
      <w:tr w14:paraId="1538F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701" w:type="pct"/>
            <w:shd w:val="clear" w:color="auto" w:fill="D3D3D3"/>
            <w:vAlign w:val="center"/>
          </w:tcPr>
          <w:p w14:paraId="7AFF9925">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取得投资收益收到的现金</w:t>
            </w:r>
          </w:p>
        </w:tc>
        <w:tc>
          <w:tcPr>
            <w:tcW w:w="1135" w:type="pct"/>
            <w:vAlign w:val="center"/>
          </w:tcPr>
          <w:p w14:paraId="417D05EC">
            <w:pPr>
              <w:spacing w:before="0" w:after="0" w:line="240" w:lineRule="exact"/>
              <w:jc w:val="right"/>
              <w:rPr>
                <w:rFonts w:ascii="宋体" w:hAnsi="宋体" w:eastAsia="宋体" w:cs="宋体"/>
                <w:sz w:val="18"/>
                <w:szCs w:val="18"/>
              </w:rPr>
            </w:pPr>
            <w:r>
              <w:rPr>
                <w:rFonts w:ascii="宋体" w:hAnsi="宋体" w:eastAsia="宋体" w:cs="宋体"/>
                <w:sz w:val="18"/>
                <w:szCs w:val="18"/>
              </w:rPr>
              <w:t>2,923,632.06</w:t>
            </w:r>
          </w:p>
        </w:tc>
        <w:tc>
          <w:tcPr>
            <w:tcW w:w="1163" w:type="pct"/>
            <w:vAlign w:val="center"/>
          </w:tcPr>
          <w:p w14:paraId="75FC036E">
            <w:pPr>
              <w:spacing w:before="0" w:after="0" w:line="240" w:lineRule="exact"/>
              <w:jc w:val="right"/>
              <w:rPr>
                <w:rFonts w:ascii="宋体" w:hAnsi="宋体" w:eastAsia="宋体" w:cs="宋体"/>
                <w:sz w:val="18"/>
                <w:szCs w:val="18"/>
              </w:rPr>
            </w:pPr>
            <w:r>
              <w:rPr>
                <w:rFonts w:ascii="宋体" w:hAnsi="宋体" w:eastAsia="宋体" w:cs="宋体"/>
                <w:sz w:val="18"/>
                <w:szCs w:val="18"/>
              </w:rPr>
              <w:t>5,600,692.34</w:t>
            </w:r>
          </w:p>
        </w:tc>
      </w:tr>
      <w:tr w14:paraId="78732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701" w:type="pct"/>
            <w:shd w:val="clear" w:color="auto" w:fill="D3D3D3"/>
            <w:vAlign w:val="center"/>
          </w:tcPr>
          <w:p w14:paraId="1D612F5A">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处置固定资产、无形资产和其他长期资产收回的现金净额</w:t>
            </w:r>
          </w:p>
        </w:tc>
        <w:tc>
          <w:tcPr>
            <w:tcW w:w="1135" w:type="pct"/>
            <w:vAlign w:val="center"/>
          </w:tcPr>
          <w:p w14:paraId="198C99F4">
            <w:pPr>
              <w:spacing w:before="0" w:after="0" w:line="240" w:lineRule="exact"/>
              <w:jc w:val="right"/>
              <w:rPr>
                <w:rFonts w:ascii="宋体" w:hAnsi="宋体" w:eastAsia="宋体" w:cs="宋体"/>
                <w:sz w:val="18"/>
                <w:szCs w:val="18"/>
              </w:rPr>
            </w:pPr>
            <w:r>
              <w:rPr>
                <w:rFonts w:ascii="宋体" w:hAnsi="宋体" w:eastAsia="宋体" w:cs="宋体"/>
                <w:sz w:val="18"/>
                <w:szCs w:val="18"/>
              </w:rPr>
              <w:t>266,980.00</w:t>
            </w:r>
          </w:p>
        </w:tc>
        <w:tc>
          <w:tcPr>
            <w:tcW w:w="1163" w:type="pct"/>
            <w:vAlign w:val="center"/>
          </w:tcPr>
          <w:p w14:paraId="7D49229A">
            <w:pPr>
              <w:spacing w:before="0" w:after="0" w:line="240" w:lineRule="exact"/>
              <w:jc w:val="right"/>
              <w:rPr>
                <w:rFonts w:ascii="宋体" w:hAnsi="宋体" w:eastAsia="宋体" w:cs="宋体"/>
                <w:sz w:val="18"/>
                <w:szCs w:val="18"/>
              </w:rPr>
            </w:pPr>
          </w:p>
        </w:tc>
      </w:tr>
      <w:tr w14:paraId="188BB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701" w:type="pct"/>
            <w:shd w:val="clear" w:color="auto" w:fill="D3D3D3"/>
            <w:vAlign w:val="center"/>
          </w:tcPr>
          <w:p w14:paraId="63315549">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处置子公司及其他营业单位收到的现金净额</w:t>
            </w:r>
          </w:p>
        </w:tc>
        <w:tc>
          <w:tcPr>
            <w:tcW w:w="1135" w:type="pct"/>
            <w:vAlign w:val="center"/>
          </w:tcPr>
          <w:p w14:paraId="55D5E0A9">
            <w:pPr>
              <w:spacing w:before="0" w:after="0" w:line="240" w:lineRule="exact"/>
              <w:jc w:val="right"/>
              <w:rPr>
                <w:rFonts w:ascii="宋体" w:hAnsi="宋体" w:eastAsia="宋体" w:cs="宋体"/>
                <w:sz w:val="18"/>
                <w:szCs w:val="18"/>
              </w:rPr>
            </w:pPr>
          </w:p>
        </w:tc>
        <w:tc>
          <w:tcPr>
            <w:tcW w:w="1163" w:type="pct"/>
            <w:vAlign w:val="center"/>
          </w:tcPr>
          <w:p w14:paraId="63AB1BBE">
            <w:pPr>
              <w:spacing w:before="0" w:after="0" w:line="240" w:lineRule="exact"/>
              <w:jc w:val="right"/>
              <w:rPr>
                <w:rFonts w:ascii="宋体" w:hAnsi="宋体" w:eastAsia="宋体" w:cs="宋体"/>
                <w:sz w:val="18"/>
                <w:szCs w:val="18"/>
              </w:rPr>
            </w:pPr>
          </w:p>
        </w:tc>
      </w:tr>
      <w:tr w14:paraId="41DB9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701" w:type="pct"/>
            <w:shd w:val="clear" w:color="auto" w:fill="D3D3D3"/>
            <w:vAlign w:val="center"/>
          </w:tcPr>
          <w:p w14:paraId="401BB281">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收到其他与投资活动有关的现金</w:t>
            </w:r>
          </w:p>
        </w:tc>
        <w:tc>
          <w:tcPr>
            <w:tcW w:w="1135" w:type="pct"/>
            <w:vAlign w:val="center"/>
          </w:tcPr>
          <w:p w14:paraId="5B99D9CB">
            <w:pPr>
              <w:spacing w:before="0" w:after="0" w:line="240" w:lineRule="exact"/>
              <w:jc w:val="right"/>
              <w:rPr>
                <w:rFonts w:ascii="宋体" w:hAnsi="宋体" w:eastAsia="宋体" w:cs="宋体"/>
                <w:sz w:val="18"/>
                <w:szCs w:val="18"/>
              </w:rPr>
            </w:pPr>
          </w:p>
        </w:tc>
        <w:tc>
          <w:tcPr>
            <w:tcW w:w="1163" w:type="pct"/>
            <w:vAlign w:val="center"/>
          </w:tcPr>
          <w:p w14:paraId="7DCD9CBC">
            <w:pPr>
              <w:spacing w:before="0" w:after="0" w:line="240" w:lineRule="exact"/>
              <w:jc w:val="right"/>
              <w:rPr>
                <w:rFonts w:ascii="宋体" w:hAnsi="宋体" w:eastAsia="宋体" w:cs="宋体"/>
                <w:sz w:val="18"/>
                <w:szCs w:val="18"/>
              </w:rPr>
            </w:pPr>
          </w:p>
        </w:tc>
      </w:tr>
      <w:tr w14:paraId="5E1E3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701" w:type="pct"/>
            <w:shd w:val="clear" w:color="auto" w:fill="D3D3D3"/>
            <w:vAlign w:val="center"/>
          </w:tcPr>
          <w:p w14:paraId="50BB33C1">
            <w:pPr>
              <w:spacing w:before="0" w:after="0" w:line="240" w:lineRule="exact"/>
              <w:jc w:val="left"/>
              <w:rPr>
                <w:rFonts w:ascii="宋体" w:hAnsi="宋体" w:eastAsia="宋体" w:cs="宋体"/>
                <w:sz w:val="18"/>
                <w:szCs w:val="18"/>
              </w:rPr>
            </w:pPr>
            <w:r>
              <w:rPr>
                <w:rFonts w:ascii="宋体" w:hAnsi="宋体" w:eastAsia="宋体" w:cs="宋体"/>
                <w:sz w:val="18"/>
                <w:szCs w:val="18"/>
              </w:rPr>
              <w:t>投资活动现金流入小计</w:t>
            </w:r>
          </w:p>
        </w:tc>
        <w:tc>
          <w:tcPr>
            <w:tcW w:w="1135" w:type="pct"/>
            <w:vAlign w:val="center"/>
          </w:tcPr>
          <w:p w14:paraId="1001BDDA">
            <w:pPr>
              <w:spacing w:before="0" w:after="0" w:line="240" w:lineRule="exact"/>
              <w:jc w:val="right"/>
              <w:rPr>
                <w:rFonts w:ascii="宋体" w:hAnsi="宋体" w:eastAsia="宋体" w:cs="宋体"/>
                <w:sz w:val="18"/>
                <w:szCs w:val="18"/>
              </w:rPr>
            </w:pPr>
            <w:r>
              <w:rPr>
                <w:rFonts w:ascii="宋体" w:hAnsi="宋体" w:eastAsia="宋体" w:cs="宋体"/>
                <w:sz w:val="18"/>
                <w:szCs w:val="18"/>
              </w:rPr>
              <w:t>518,199,612.06</w:t>
            </w:r>
          </w:p>
        </w:tc>
        <w:tc>
          <w:tcPr>
            <w:tcW w:w="1163" w:type="pct"/>
            <w:vAlign w:val="center"/>
          </w:tcPr>
          <w:p w14:paraId="5FD2C175">
            <w:pPr>
              <w:spacing w:before="0" w:after="0" w:line="240" w:lineRule="exact"/>
              <w:jc w:val="right"/>
              <w:rPr>
                <w:rFonts w:ascii="宋体" w:hAnsi="宋体" w:eastAsia="宋体" w:cs="宋体"/>
                <w:sz w:val="18"/>
                <w:szCs w:val="18"/>
              </w:rPr>
            </w:pPr>
            <w:r>
              <w:rPr>
                <w:rFonts w:ascii="宋体" w:hAnsi="宋体" w:eastAsia="宋体" w:cs="宋体"/>
                <w:sz w:val="18"/>
                <w:szCs w:val="18"/>
              </w:rPr>
              <w:t>795,600,692.34</w:t>
            </w:r>
          </w:p>
        </w:tc>
      </w:tr>
      <w:tr w14:paraId="2C9A6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701" w:type="pct"/>
            <w:shd w:val="clear" w:color="auto" w:fill="D3D3D3"/>
            <w:vAlign w:val="center"/>
          </w:tcPr>
          <w:p w14:paraId="2BB854DA">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购建固定资产、无形资产和其他长期资产支付的现金</w:t>
            </w:r>
          </w:p>
        </w:tc>
        <w:tc>
          <w:tcPr>
            <w:tcW w:w="1135" w:type="pct"/>
            <w:vAlign w:val="center"/>
          </w:tcPr>
          <w:p w14:paraId="00D64A5E">
            <w:pPr>
              <w:spacing w:before="0" w:after="0" w:line="240" w:lineRule="exact"/>
              <w:jc w:val="right"/>
              <w:rPr>
                <w:rFonts w:ascii="宋体" w:hAnsi="宋体" w:eastAsia="宋体" w:cs="宋体"/>
                <w:sz w:val="18"/>
                <w:szCs w:val="18"/>
              </w:rPr>
            </w:pPr>
            <w:r>
              <w:rPr>
                <w:rFonts w:ascii="宋体" w:hAnsi="宋体" w:eastAsia="宋体" w:cs="宋体"/>
                <w:sz w:val="18"/>
                <w:szCs w:val="18"/>
              </w:rPr>
              <w:t>2,844,880.32</w:t>
            </w:r>
          </w:p>
        </w:tc>
        <w:tc>
          <w:tcPr>
            <w:tcW w:w="1163" w:type="pct"/>
            <w:vAlign w:val="center"/>
          </w:tcPr>
          <w:p w14:paraId="2DCC2C34">
            <w:pPr>
              <w:spacing w:before="0" w:after="0" w:line="240" w:lineRule="exact"/>
              <w:jc w:val="right"/>
              <w:rPr>
                <w:rFonts w:ascii="宋体" w:hAnsi="宋体" w:eastAsia="宋体" w:cs="宋体"/>
                <w:sz w:val="18"/>
                <w:szCs w:val="18"/>
              </w:rPr>
            </w:pPr>
            <w:r>
              <w:rPr>
                <w:rFonts w:ascii="宋体" w:hAnsi="宋体" w:eastAsia="宋体" w:cs="宋体"/>
                <w:sz w:val="18"/>
                <w:szCs w:val="18"/>
              </w:rPr>
              <w:t>1,130,108.00</w:t>
            </w:r>
          </w:p>
        </w:tc>
      </w:tr>
      <w:tr w14:paraId="06B34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701" w:type="pct"/>
            <w:shd w:val="clear" w:color="auto" w:fill="D3D3D3"/>
            <w:vAlign w:val="center"/>
          </w:tcPr>
          <w:p w14:paraId="0E8431FD">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投资支付的现金</w:t>
            </w:r>
          </w:p>
        </w:tc>
        <w:tc>
          <w:tcPr>
            <w:tcW w:w="1135" w:type="pct"/>
            <w:vAlign w:val="center"/>
          </w:tcPr>
          <w:p w14:paraId="3DAE7F32">
            <w:pPr>
              <w:spacing w:before="0" w:after="0" w:line="240" w:lineRule="exact"/>
              <w:jc w:val="right"/>
              <w:rPr>
                <w:rFonts w:ascii="宋体" w:hAnsi="宋体" w:eastAsia="宋体" w:cs="宋体"/>
                <w:sz w:val="18"/>
                <w:szCs w:val="18"/>
              </w:rPr>
            </w:pPr>
            <w:r>
              <w:rPr>
                <w:rFonts w:ascii="宋体" w:hAnsi="宋体" w:eastAsia="宋体" w:cs="宋体"/>
                <w:sz w:val="18"/>
                <w:szCs w:val="18"/>
              </w:rPr>
              <w:t>535,000,000.00</w:t>
            </w:r>
          </w:p>
        </w:tc>
        <w:tc>
          <w:tcPr>
            <w:tcW w:w="1163" w:type="pct"/>
            <w:vAlign w:val="center"/>
          </w:tcPr>
          <w:p w14:paraId="1452D1A6">
            <w:pPr>
              <w:spacing w:before="0" w:after="0" w:line="240" w:lineRule="exact"/>
              <w:jc w:val="right"/>
              <w:rPr>
                <w:rFonts w:ascii="宋体" w:hAnsi="宋体" w:eastAsia="宋体" w:cs="宋体"/>
                <w:sz w:val="18"/>
                <w:szCs w:val="18"/>
              </w:rPr>
            </w:pPr>
            <w:r>
              <w:rPr>
                <w:rFonts w:ascii="宋体" w:hAnsi="宋体" w:eastAsia="宋体" w:cs="宋体"/>
                <w:sz w:val="18"/>
                <w:szCs w:val="18"/>
              </w:rPr>
              <w:t>763,049,100.00</w:t>
            </w:r>
          </w:p>
        </w:tc>
      </w:tr>
      <w:tr w14:paraId="4DED7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701" w:type="pct"/>
            <w:shd w:val="clear" w:color="auto" w:fill="D3D3D3"/>
            <w:vAlign w:val="center"/>
          </w:tcPr>
          <w:p w14:paraId="08A93839">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质押贷款净增加额</w:t>
            </w:r>
          </w:p>
        </w:tc>
        <w:tc>
          <w:tcPr>
            <w:tcW w:w="1135" w:type="pct"/>
            <w:vAlign w:val="center"/>
          </w:tcPr>
          <w:p w14:paraId="07B3844D">
            <w:pPr>
              <w:spacing w:before="0" w:after="0" w:line="240" w:lineRule="exact"/>
              <w:jc w:val="right"/>
              <w:rPr>
                <w:rFonts w:ascii="宋体" w:hAnsi="宋体" w:eastAsia="宋体" w:cs="宋体"/>
                <w:sz w:val="18"/>
                <w:szCs w:val="18"/>
              </w:rPr>
            </w:pPr>
          </w:p>
        </w:tc>
        <w:tc>
          <w:tcPr>
            <w:tcW w:w="1163" w:type="pct"/>
            <w:vAlign w:val="center"/>
          </w:tcPr>
          <w:p w14:paraId="52FEDCE9">
            <w:pPr>
              <w:spacing w:before="0" w:after="0" w:line="240" w:lineRule="exact"/>
              <w:jc w:val="right"/>
              <w:rPr>
                <w:rFonts w:ascii="宋体" w:hAnsi="宋体" w:eastAsia="宋体" w:cs="宋体"/>
                <w:sz w:val="18"/>
                <w:szCs w:val="18"/>
              </w:rPr>
            </w:pPr>
          </w:p>
        </w:tc>
      </w:tr>
      <w:tr w14:paraId="0CCB6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701" w:type="pct"/>
            <w:shd w:val="clear" w:color="auto" w:fill="D3D3D3"/>
            <w:vAlign w:val="center"/>
          </w:tcPr>
          <w:p w14:paraId="0499C56F">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取得子公司及其他营业单位支付的现金净额</w:t>
            </w:r>
          </w:p>
        </w:tc>
        <w:tc>
          <w:tcPr>
            <w:tcW w:w="1135" w:type="pct"/>
            <w:vAlign w:val="center"/>
          </w:tcPr>
          <w:p w14:paraId="1503E9E0">
            <w:pPr>
              <w:spacing w:before="0" w:after="0" w:line="240" w:lineRule="exact"/>
              <w:jc w:val="right"/>
              <w:rPr>
                <w:rFonts w:ascii="宋体" w:hAnsi="宋体" w:eastAsia="宋体" w:cs="宋体"/>
                <w:sz w:val="18"/>
                <w:szCs w:val="18"/>
              </w:rPr>
            </w:pPr>
          </w:p>
        </w:tc>
        <w:tc>
          <w:tcPr>
            <w:tcW w:w="1163" w:type="pct"/>
            <w:vAlign w:val="center"/>
          </w:tcPr>
          <w:p w14:paraId="0111B78B">
            <w:pPr>
              <w:spacing w:before="0" w:after="0" w:line="240" w:lineRule="exact"/>
              <w:jc w:val="right"/>
              <w:rPr>
                <w:rFonts w:ascii="宋体" w:hAnsi="宋体" w:eastAsia="宋体" w:cs="宋体"/>
                <w:sz w:val="18"/>
                <w:szCs w:val="18"/>
              </w:rPr>
            </w:pPr>
          </w:p>
        </w:tc>
      </w:tr>
      <w:tr w14:paraId="28998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701" w:type="pct"/>
            <w:shd w:val="clear" w:color="auto" w:fill="D3D3D3"/>
            <w:vAlign w:val="center"/>
          </w:tcPr>
          <w:p w14:paraId="4E4B9658">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支付其他与投资活动有关的现金</w:t>
            </w:r>
          </w:p>
        </w:tc>
        <w:tc>
          <w:tcPr>
            <w:tcW w:w="1135" w:type="pct"/>
            <w:vAlign w:val="center"/>
          </w:tcPr>
          <w:p w14:paraId="3CA565D1">
            <w:pPr>
              <w:spacing w:before="0" w:after="0" w:line="240" w:lineRule="exact"/>
              <w:jc w:val="right"/>
              <w:rPr>
                <w:rFonts w:ascii="宋体" w:hAnsi="宋体" w:eastAsia="宋体" w:cs="宋体"/>
                <w:sz w:val="18"/>
                <w:szCs w:val="18"/>
              </w:rPr>
            </w:pPr>
            <w:r>
              <w:rPr>
                <w:rFonts w:ascii="宋体" w:hAnsi="宋体" w:eastAsia="宋体" w:cs="宋体"/>
                <w:sz w:val="18"/>
                <w:szCs w:val="18"/>
              </w:rPr>
              <w:t>125,061.81</w:t>
            </w:r>
          </w:p>
        </w:tc>
        <w:tc>
          <w:tcPr>
            <w:tcW w:w="1163" w:type="pct"/>
            <w:vAlign w:val="center"/>
          </w:tcPr>
          <w:p w14:paraId="35E6A25F">
            <w:pPr>
              <w:spacing w:before="0" w:after="0" w:line="240" w:lineRule="exact"/>
              <w:jc w:val="right"/>
              <w:rPr>
                <w:rFonts w:ascii="宋体" w:hAnsi="宋体" w:eastAsia="宋体" w:cs="宋体"/>
                <w:sz w:val="18"/>
                <w:szCs w:val="18"/>
              </w:rPr>
            </w:pPr>
          </w:p>
        </w:tc>
      </w:tr>
      <w:tr w14:paraId="59A33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701" w:type="pct"/>
            <w:shd w:val="clear" w:color="auto" w:fill="D3D3D3"/>
            <w:vAlign w:val="center"/>
          </w:tcPr>
          <w:p w14:paraId="0DA01E73">
            <w:pPr>
              <w:spacing w:before="0" w:after="0" w:line="240" w:lineRule="exact"/>
              <w:jc w:val="left"/>
              <w:rPr>
                <w:rFonts w:ascii="宋体" w:hAnsi="宋体" w:eastAsia="宋体" w:cs="宋体"/>
                <w:sz w:val="18"/>
                <w:szCs w:val="18"/>
              </w:rPr>
            </w:pPr>
            <w:r>
              <w:rPr>
                <w:rFonts w:ascii="宋体" w:hAnsi="宋体" w:eastAsia="宋体" w:cs="宋体"/>
                <w:sz w:val="18"/>
                <w:szCs w:val="18"/>
              </w:rPr>
              <w:t>投资活动现金流出小计</w:t>
            </w:r>
          </w:p>
        </w:tc>
        <w:tc>
          <w:tcPr>
            <w:tcW w:w="1135" w:type="pct"/>
            <w:vAlign w:val="center"/>
          </w:tcPr>
          <w:p w14:paraId="01471B29">
            <w:pPr>
              <w:spacing w:before="0" w:after="0" w:line="240" w:lineRule="exact"/>
              <w:jc w:val="right"/>
              <w:rPr>
                <w:rFonts w:ascii="宋体" w:hAnsi="宋体" w:eastAsia="宋体" w:cs="宋体"/>
                <w:sz w:val="18"/>
                <w:szCs w:val="18"/>
              </w:rPr>
            </w:pPr>
            <w:r>
              <w:rPr>
                <w:rFonts w:ascii="宋体" w:hAnsi="宋体" w:eastAsia="宋体" w:cs="宋体"/>
                <w:sz w:val="18"/>
                <w:szCs w:val="18"/>
              </w:rPr>
              <w:t>537,969,942.13</w:t>
            </w:r>
          </w:p>
        </w:tc>
        <w:tc>
          <w:tcPr>
            <w:tcW w:w="1163" w:type="pct"/>
            <w:vAlign w:val="center"/>
          </w:tcPr>
          <w:p w14:paraId="2F4A1224">
            <w:pPr>
              <w:spacing w:before="0" w:after="0" w:line="240" w:lineRule="exact"/>
              <w:jc w:val="right"/>
              <w:rPr>
                <w:rFonts w:ascii="宋体" w:hAnsi="宋体" w:eastAsia="宋体" w:cs="宋体"/>
                <w:sz w:val="18"/>
                <w:szCs w:val="18"/>
              </w:rPr>
            </w:pPr>
            <w:r>
              <w:rPr>
                <w:rFonts w:ascii="宋体" w:hAnsi="宋体" w:eastAsia="宋体" w:cs="宋体"/>
                <w:sz w:val="18"/>
                <w:szCs w:val="18"/>
              </w:rPr>
              <w:t>764,179,208.00</w:t>
            </w:r>
          </w:p>
        </w:tc>
      </w:tr>
      <w:tr w14:paraId="733F8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701" w:type="pct"/>
            <w:shd w:val="clear" w:color="auto" w:fill="D3D3D3"/>
            <w:vAlign w:val="center"/>
          </w:tcPr>
          <w:p w14:paraId="61ECA19E">
            <w:pPr>
              <w:spacing w:before="0" w:after="0" w:line="240" w:lineRule="exact"/>
              <w:jc w:val="left"/>
              <w:rPr>
                <w:rFonts w:ascii="宋体" w:hAnsi="宋体" w:eastAsia="宋体" w:cs="宋体"/>
                <w:sz w:val="18"/>
                <w:szCs w:val="18"/>
              </w:rPr>
            </w:pPr>
            <w:r>
              <w:rPr>
                <w:rFonts w:ascii="宋体" w:hAnsi="宋体" w:eastAsia="宋体" w:cs="宋体"/>
                <w:sz w:val="18"/>
                <w:szCs w:val="18"/>
              </w:rPr>
              <w:t>投资活动产生的现金流量净额</w:t>
            </w:r>
          </w:p>
        </w:tc>
        <w:tc>
          <w:tcPr>
            <w:tcW w:w="1135" w:type="pct"/>
            <w:vAlign w:val="center"/>
          </w:tcPr>
          <w:p w14:paraId="5A2BD836">
            <w:pPr>
              <w:spacing w:before="0" w:after="0" w:line="240" w:lineRule="exact"/>
              <w:jc w:val="right"/>
              <w:rPr>
                <w:rFonts w:ascii="宋体" w:hAnsi="宋体" w:eastAsia="宋体" w:cs="宋体"/>
                <w:sz w:val="18"/>
                <w:szCs w:val="18"/>
              </w:rPr>
            </w:pPr>
            <w:r>
              <w:rPr>
                <w:rFonts w:ascii="宋体" w:hAnsi="宋体" w:eastAsia="宋体" w:cs="宋体"/>
                <w:sz w:val="18"/>
                <w:szCs w:val="18"/>
              </w:rPr>
              <w:t>-19,770,330.07</w:t>
            </w:r>
          </w:p>
        </w:tc>
        <w:tc>
          <w:tcPr>
            <w:tcW w:w="1163" w:type="pct"/>
            <w:vAlign w:val="center"/>
          </w:tcPr>
          <w:p w14:paraId="11CE09C3">
            <w:pPr>
              <w:spacing w:before="0" w:after="0" w:line="240" w:lineRule="exact"/>
              <w:jc w:val="right"/>
              <w:rPr>
                <w:rFonts w:ascii="宋体" w:hAnsi="宋体" w:eastAsia="宋体" w:cs="宋体"/>
                <w:sz w:val="18"/>
                <w:szCs w:val="18"/>
              </w:rPr>
            </w:pPr>
            <w:r>
              <w:rPr>
                <w:rFonts w:ascii="宋体" w:hAnsi="宋体" w:eastAsia="宋体" w:cs="宋体"/>
                <w:sz w:val="18"/>
                <w:szCs w:val="18"/>
              </w:rPr>
              <w:t>31,421,484.34</w:t>
            </w:r>
          </w:p>
        </w:tc>
      </w:tr>
      <w:tr w14:paraId="52565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701" w:type="pct"/>
            <w:shd w:val="clear" w:color="auto" w:fill="D3D3D3"/>
            <w:vAlign w:val="center"/>
          </w:tcPr>
          <w:p w14:paraId="065EE69A">
            <w:pPr>
              <w:spacing w:before="0" w:after="0" w:line="240" w:lineRule="exact"/>
              <w:jc w:val="left"/>
              <w:rPr>
                <w:rFonts w:ascii="宋体" w:hAnsi="宋体" w:eastAsia="宋体" w:cs="宋体"/>
                <w:sz w:val="18"/>
                <w:szCs w:val="18"/>
              </w:rPr>
            </w:pPr>
            <w:r>
              <w:rPr>
                <w:rFonts w:ascii="宋体" w:hAnsi="宋体" w:eastAsia="宋体" w:cs="宋体"/>
                <w:sz w:val="18"/>
                <w:szCs w:val="18"/>
              </w:rPr>
              <w:t>三、筹资活动产生的现金流量：</w:t>
            </w:r>
          </w:p>
        </w:tc>
        <w:tc>
          <w:tcPr>
            <w:tcW w:w="1135" w:type="pct"/>
            <w:shd w:val="clear" w:color="auto" w:fill="D3D3D3"/>
            <w:vAlign w:val="center"/>
          </w:tcPr>
          <w:p w14:paraId="77E1AB82"/>
        </w:tc>
        <w:tc>
          <w:tcPr>
            <w:tcW w:w="1163" w:type="pct"/>
            <w:shd w:val="clear" w:color="auto" w:fill="D3D3D3"/>
            <w:vAlign w:val="center"/>
          </w:tcPr>
          <w:p w14:paraId="51CF186E"/>
        </w:tc>
      </w:tr>
      <w:tr w14:paraId="0B524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701" w:type="pct"/>
            <w:shd w:val="clear" w:color="auto" w:fill="D3D3D3"/>
            <w:vAlign w:val="center"/>
          </w:tcPr>
          <w:p w14:paraId="3066FE97">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吸收投资收到的现金</w:t>
            </w:r>
          </w:p>
        </w:tc>
        <w:tc>
          <w:tcPr>
            <w:tcW w:w="1135" w:type="pct"/>
            <w:vAlign w:val="center"/>
          </w:tcPr>
          <w:p w14:paraId="58DCAEBD">
            <w:pPr>
              <w:spacing w:before="0" w:after="0" w:line="240" w:lineRule="exact"/>
              <w:jc w:val="right"/>
              <w:rPr>
                <w:rFonts w:ascii="宋体" w:hAnsi="宋体" w:eastAsia="宋体" w:cs="宋体"/>
                <w:sz w:val="18"/>
                <w:szCs w:val="18"/>
              </w:rPr>
            </w:pPr>
          </w:p>
        </w:tc>
        <w:tc>
          <w:tcPr>
            <w:tcW w:w="1163" w:type="pct"/>
            <w:vAlign w:val="center"/>
          </w:tcPr>
          <w:p w14:paraId="37B14BBE">
            <w:pPr>
              <w:spacing w:before="0" w:after="0" w:line="240" w:lineRule="exact"/>
              <w:jc w:val="right"/>
              <w:rPr>
                <w:rFonts w:ascii="宋体" w:hAnsi="宋体" w:eastAsia="宋体" w:cs="宋体"/>
                <w:sz w:val="18"/>
                <w:szCs w:val="18"/>
              </w:rPr>
            </w:pPr>
          </w:p>
        </w:tc>
      </w:tr>
      <w:tr w14:paraId="674F3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701" w:type="pct"/>
            <w:shd w:val="clear" w:color="auto" w:fill="D3D3D3"/>
            <w:vAlign w:val="center"/>
          </w:tcPr>
          <w:p w14:paraId="4D2C7111">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其中：子公司吸收少数股东投资收到的现金</w:t>
            </w:r>
          </w:p>
        </w:tc>
        <w:tc>
          <w:tcPr>
            <w:tcW w:w="1135" w:type="pct"/>
            <w:vAlign w:val="center"/>
          </w:tcPr>
          <w:p w14:paraId="2688DA38">
            <w:pPr>
              <w:spacing w:before="0" w:after="0" w:line="240" w:lineRule="exact"/>
              <w:jc w:val="right"/>
              <w:rPr>
                <w:rFonts w:ascii="宋体" w:hAnsi="宋体" w:eastAsia="宋体" w:cs="宋体"/>
                <w:sz w:val="18"/>
                <w:szCs w:val="18"/>
              </w:rPr>
            </w:pPr>
          </w:p>
        </w:tc>
        <w:tc>
          <w:tcPr>
            <w:tcW w:w="1163" w:type="pct"/>
            <w:vAlign w:val="center"/>
          </w:tcPr>
          <w:p w14:paraId="65C98F7E">
            <w:pPr>
              <w:spacing w:before="0" w:after="0" w:line="240" w:lineRule="exact"/>
              <w:jc w:val="right"/>
              <w:rPr>
                <w:rFonts w:ascii="宋体" w:hAnsi="宋体" w:eastAsia="宋体" w:cs="宋体"/>
                <w:sz w:val="18"/>
                <w:szCs w:val="18"/>
              </w:rPr>
            </w:pPr>
          </w:p>
        </w:tc>
      </w:tr>
      <w:tr w14:paraId="010B0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701" w:type="pct"/>
            <w:shd w:val="clear" w:color="auto" w:fill="D3D3D3"/>
            <w:vAlign w:val="center"/>
          </w:tcPr>
          <w:p w14:paraId="3AA288D2">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取得借款收到的现金</w:t>
            </w:r>
          </w:p>
        </w:tc>
        <w:tc>
          <w:tcPr>
            <w:tcW w:w="1135" w:type="pct"/>
            <w:vAlign w:val="center"/>
          </w:tcPr>
          <w:p w14:paraId="2DBBFBE3">
            <w:pPr>
              <w:spacing w:before="0" w:after="0" w:line="240" w:lineRule="exact"/>
              <w:jc w:val="right"/>
              <w:rPr>
                <w:rFonts w:ascii="宋体" w:hAnsi="宋体" w:eastAsia="宋体" w:cs="宋体"/>
                <w:sz w:val="18"/>
                <w:szCs w:val="18"/>
              </w:rPr>
            </w:pPr>
          </w:p>
        </w:tc>
        <w:tc>
          <w:tcPr>
            <w:tcW w:w="1163" w:type="pct"/>
            <w:vAlign w:val="center"/>
          </w:tcPr>
          <w:p w14:paraId="4DF3B469">
            <w:pPr>
              <w:spacing w:before="0" w:after="0" w:line="240" w:lineRule="exact"/>
              <w:jc w:val="right"/>
              <w:rPr>
                <w:rFonts w:ascii="宋体" w:hAnsi="宋体" w:eastAsia="宋体" w:cs="宋体"/>
                <w:sz w:val="18"/>
                <w:szCs w:val="18"/>
              </w:rPr>
            </w:pPr>
          </w:p>
        </w:tc>
      </w:tr>
      <w:tr w14:paraId="5F43D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701" w:type="pct"/>
            <w:shd w:val="clear" w:color="auto" w:fill="D3D3D3"/>
            <w:vAlign w:val="center"/>
          </w:tcPr>
          <w:p w14:paraId="286BADE3">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收到其他与筹资活动有关的现金</w:t>
            </w:r>
          </w:p>
        </w:tc>
        <w:tc>
          <w:tcPr>
            <w:tcW w:w="1135" w:type="pct"/>
            <w:vAlign w:val="center"/>
          </w:tcPr>
          <w:p w14:paraId="2201B30D">
            <w:pPr>
              <w:spacing w:before="0" w:after="0" w:line="240" w:lineRule="exact"/>
              <w:jc w:val="right"/>
              <w:rPr>
                <w:rFonts w:ascii="宋体" w:hAnsi="宋体" w:eastAsia="宋体" w:cs="宋体"/>
                <w:sz w:val="18"/>
                <w:szCs w:val="18"/>
              </w:rPr>
            </w:pPr>
          </w:p>
        </w:tc>
        <w:tc>
          <w:tcPr>
            <w:tcW w:w="1163" w:type="pct"/>
            <w:vAlign w:val="center"/>
          </w:tcPr>
          <w:p w14:paraId="3399E27A">
            <w:pPr>
              <w:spacing w:before="0" w:after="0" w:line="240" w:lineRule="exact"/>
              <w:jc w:val="right"/>
              <w:rPr>
                <w:rFonts w:ascii="宋体" w:hAnsi="宋体" w:eastAsia="宋体" w:cs="宋体"/>
                <w:sz w:val="18"/>
                <w:szCs w:val="18"/>
              </w:rPr>
            </w:pPr>
          </w:p>
        </w:tc>
      </w:tr>
      <w:tr w14:paraId="259E4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701" w:type="pct"/>
            <w:shd w:val="clear" w:color="auto" w:fill="D3D3D3"/>
            <w:vAlign w:val="center"/>
          </w:tcPr>
          <w:p w14:paraId="0761AD5F">
            <w:pPr>
              <w:spacing w:before="0" w:after="0" w:line="240" w:lineRule="exact"/>
              <w:jc w:val="left"/>
              <w:rPr>
                <w:rFonts w:ascii="宋体" w:hAnsi="宋体" w:eastAsia="宋体" w:cs="宋体"/>
                <w:sz w:val="18"/>
                <w:szCs w:val="18"/>
              </w:rPr>
            </w:pPr>
            <w:r>
              <w:rPr>
                <w:rFonts w:ascii="宋体" w:hAnsi="宋体" w:eastAsia="宋体" w:cs="宋体"/>
                <w:sz w:val="18"/>
                <w:szCs w:val="18"/>
              </w:rPr>
              <w:t>筹资活动现金流入小计</w:t>
            </w:r>
          </w:p>
        </w:tc>
        <w:tc>
          <w:tcPr>
            <w:tcW w:w="1135" w:type="pct"/>
            <w:vAlign w:val="center"/>
          </w:tcPr>
          <w:p w14:paraId="40B057C3">
            <w:pPr>
              <w:spacing w:before="0" w:after="0" w:line="240" w:lineRule="exact"/>
              <w:jc w:val="right"/>
              <w:rPr>
                <w:rFonts w:ascii="宋体" w:hAnsi="宋体" w:eastAsia="宋体" w:cs="宋体"/>
                <w:sz w:val="18"/>
                <w:szCs w:val="18"/>
              </w:rPr>
            </w:pPr>
          </w:p>
        </w:tc>
        <w:tc>
          <w:tcPr>
            <w:tcW w:w="1163" w:type="pct"/>
            <w:vAlign w:val="center"/>
          </w:tcPr>
          <w:p w14:paraId="117C920A">
            <w:pPr>
              <w:spacing w:before="0" w:after="0" w:line="240" w:lineRule="exact"/>
              <w:jc w:val="right"/>
              <w:rPr>
                <w:rFonts w:ascii="宋体" w:hAnsi="宋体" w:eastAsia="宋体" w:cs="宋体"/>
                <w:sz w:val="18"/>
                <w:szCs w:val="18"/>
              </w:rPr>
            </w:pPr>
          </w:p>
        </w:tc>
      </w:tr>
      <w:tr w14:paraId="6D6BD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701" w:type="pct"/>
            <w:shd w:val="clear" w:color="auto" w:fill="D3D3D3"/>
            <w:vAlign w:val="center"/>
          </w:tcPr>
          <w:p w14:paraId="1C21D74C">
            <w:pPr>
              <w:spacing w:before="40" w:after="40" w:line="240" w:lineRule="exact"/>
              <w:ind w:firstLine="180" w:firstLineChars="100"/>
              <w:jc w:val="left"/>
              <w:rPr>
                <w:rFonts w:ascii="宋体" w:hAnsi="宋体" w:eastAsia="宋体" w:cs="宋体"/>
                <w:sz w:val="18"/>
                <w:szCs w:val="18"/>
              </w:rPr>
            </w:pPr>
            <w:r>
              <w:rPr>
                <w:rFonts w:ascii="宋体" w:hAnsi="宋体" w:eastAsia="宋体" w:cs="宋体"/>
                <w:sz w:val="18"/>
                <w:szCs w:val="18"/>
              </w:rPr>
              <w:t>偿还债务支付的现金</w:t>
            </w:r>
          </w:p>
        </w:tc>
        <w:tc>
          <w:tcPr>
            <w:tcW w:w="1135" w:type="pct"/>
            <w:vAlign w:val="center"/>
          </w:tcPr>
          <w:p w14:paraId="0B7284C6">
            <w:pPr>
              <w:spacing w:before="0" w:after="0" w:line="240" w:lineRule="exact"/>
              <w:jc w:val="right"/>
              <w:rPr>
                <w:rFonts w:ascii="宋体" w:hAnsi="宋体" w:eastAsia="宋体" w:cs="宋体"/>
                <w:sz w:val="18"/>
                <w:szCs w:val="18"/>
              </w:rPr>
            </w:pPr>
          </w:p>
        </w:tc>
        <w:tc>
          <w:tcPr>
            <w:tcW w:w="1163" w:type="pct"/>
            <w:vAlign w:val="center"/>
          </w:tcPr>
          <w:p w14:paraId="338F8FA0">
            <w:pPr>
              <w:spacing w:before="0" w:after="0" w:line="240" w:lineRule="exact"/>
              <w:jc w:val="right"/>
              <w:rPr>
                <w:rFonts w:ascii="宋体" w:hAnsi="宋体" w:eastAsia="宋体" w:cs="宋体"/>
                <w:sz w:val="18"/>
                <w:szCs w:val="18"/>
              </w:rPr>
            </w:pPr>
          </w:p>
        </w:tc>
      </w:tr>
      <w:tr w14:paraId="4F568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701" w:type="pct"/>
            <w:shd w:val="clear" w:color="auto" w:fill="D3D3D3"/>
            <w:vAlign w:val="center"/>
          </w:tcPr>
          <w:p w14:paraId="45E7DE7C">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分配股利、利润或偿付利息支付的现金</w:t>
            </w:r>
          </w:p>
        </w:tc>
        <w:tc>
          <w:tcPr>
            <w:tcW w:w="1135" w:type="pct"/>
            <w:vAlign w:val="center"/>
          </w:tcPr>
          <w:p w14:paraId="3089ECCD">
            <w:pPr>
              <w:spacing w:before="0" w:after="0" w:line="240" w:lineRule="exact"/>
              <w:jc w:val="right"/>
              <w:rPr>
                <w:rFonts w:ascii="宋体" w:hAnsi="宋体" w:eastAsia="宋体" w:cs="宋体"/>
                <w:sz w:val="18"/>
                <w:szCs w:val="18"/>
              </w:rPr>
            </w:pPr>
            <w:r>
              <w:rPr>
                <w:rFonts w:ascii="宋体" w:hAnsi="宋体" w:eastAsia="宋体" w:cs="宋体"/>
                <w:sz w:val="18"/>
                <w:szCs w:val="18"/>
              </w:rPr>
              <w:t>61,034.65</w:t>
            </w:r>
          </w:p>
        </w:tc>
        <w:tc>
          <w:tcPr>
            <w:tcW w:w="1163" w:type="pct"/>
            <w:vAlign w:val="center"/>
          </w:tcPr>
          <w:p w14:paraId="641EDE1D">
            <w:pPr>
              <w:spacing w:before="0" w:after="0" w:line="240" w:lineRule="exact"/>
              <w:jc w:val="right"/>
              <w:rPr>
                <w:rFonts w:ascii="宋体" w:hAnsi="宋体" w:eastAsia="宋体" w:cs="宋体"/>
                <w:sz w:val="18"/>
                <w:szCs w:val="18"/>
              </w:rPr>
            </w:pPr>
            <w:r>
              <w:rPr>
                <w:rFonts w:ascii="宋体" w:hAnsi="宋体" w:eastAsia="宋体" w:cs="宋体"/>
                <w:sz w:val="18"/>
                <w:szCs w:val="18"/>
              </w:rPr>
              <w:t>15,904.00</w:t>
            </w:r>
          </w:p>
        </w:tc>
      </w:tr>
      <w:tr w14:paraId="003D3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701" w:type="pct"/>
            <w:shd w:val="clear" w:color="auto" w:fill="D3D3D3"/>
            <w:vAlign w:val="center"/>
          </w:tcPr>
          <w:p w14:paraId="18155CAF">
            <w:pPr>
              <w:spacing w:before="0" w:after="0" w:line="240" w:lineRule="exact"/>
              <w:ind w:firstLine="360" w:firstLineChars="200"/>
              <w:jc w:val="left"/>
              <w:rPr>
                <w:rFonts w:ascii="宋体" w:hAnsi="宋体" w:eastAsia="宋体" w:cs="宋体"/>
                <w:sz w:val="18"/>
                <w:szCs w:val="18"/>
              </w:rPr>
            </w:pPr>
            <w:r>
              <w:rPr>
                <w:rFonts w:ascii="宋体" w:hAnsi="宋体" w:eastAsia="宋体" w:cs="宋体"/>
                <w:sz w:val="18"/>
                <w:szCs w:val="18"/>
              </w:rPr>
              <w:t>其中：子公司支付给少数股东的股利、利润</w:t>
            </w:r>
          </w:p>
        </w:tc>
        <w:tc>
          <w:tcPr>
            <w:tcW w:w="1135" w:type="pct"/>
            <w:vAlign w:val="center"/>
          </w:tcPr>
          <w:p w14:paraId="06E61C7F">
            <w:pPr>
              <w:spacing w:before="0" w:after="0" w:line="240" w:lineRule="exact"/>
              <w:jc w:val="right"/>
              <w:rPr>
                <w:rFonts w:ascii="宋体" w:hAnsi="宋体" w:eastAsia="宋体" w:cs="宋体"/>
                <w:sz w:val="18"/>
                <w:szCs w:val="18"/>
              </w:rPr>
            </w:pPr>
          </w:p>
        </w:tc>
        <w:tc>
          <w:tcPr>
            <w:tcW w:w="1163" w:type="pct"/>
            <w:vAlign w:val="center"/>
          </w:tcPr>
          <w:p w14:paraId="34B9F1F8">
            <w:pPr>
              <w:spacing w:before="0" w:after="0" w:line="240" w:lineRule="exact"/>
              <w:jc w:val="right"/>
              <w:rPr>
                <w:rFonts w:ascii="宋体" w:hAnsi="宋体" w:eastAsia="宋体" w:cs="宋体"/>
                <w:sz w:val="18"/>
                <w:szCs w:val="18"/>
              </w:rPr>
            </w:pPr>
          </w:p>
        </w:tc>
      </w:tr>
      <w:tr w14:paraId="6F2D2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701" w:type="pct"/>
            <w:shd w:val="clear" w:color="auto" w:fill="D3D3D3"/>
            <w:vAlign w:val="center"/>
          </w:tcPr>
          <w:p w14:paraId="5DB05ACA">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支付其他与筹资活动有关的现金</w:t>
            </w:r>
          </w:p>
        </w:tc>
        <w:tc>
          <w:tcPr>
            <w:tcW w:w="1135" w:type="pct"/>
            <w:vAlign w:val="center"/>
          </w:tcPr>
          <w:p w14:paraId="3081FDB7">
            <w:pPr>
              <w:spacing w:before="0" w:after="0" w:line="240" w:lineRule="exact"/>
              <w:jc w:val="right"/>
              <w:rPr>
                <w:rFonts w:ascii="宋体" w:hAnsi="宋体" w:eastAsia="宋体" w:cs="宋体"/>
                <w:sz w:val="18"/>
                <w:szCs w:val="18"/>
              </w:rPr>
            </w:pPr>
          </w:p>
        </w:tc>
        <w:tc>
          <w:tcPr>
            <w:tcW w:w="1163" w:type="pct"/>
            <w:vAlign w:val="center"/>
          </w:tcPr>
          <w:p w14:paraId="2CEA390A">
            <w:pPr>
              <w:spacing w:before="0" w:after="0" w:line="240" w:lineRule="exact"/>
              <w:jc w:val="right"/>
              <w:rPr>
                <w:rFonts w:ascii="宋体" w:hAnsi="宋体" w:eastAsia="宋体" w:cs="宋体"/>
                <w:sz w:val="18"/>
                <w:szCs w:val="18"/>
              </w:rPr>
            </w:pPr>
          </w:p>
        </w:tc>
      </w:tr>
      <w:tr w14:paraId="63839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701" w:type="pct"/>
            <w:shd w:val="clear" w:color="auto" w:fill="D3D3D3"/>
            <w:vAlign w:val="center"/>
          </w:tcPr>
          <w:p w14:paraId="28C9C654">
            <w:pPr>
              <w:spacing w:before="0" w:after="0" w:line="240" w:lineRule="exact"/>
              <w:jc w:val="left"/>
              <w:rPr>
                <w:rFonts w:ascii="宋体" w:hAnsi="宋体" w:eastAsia="宋体" w:cs="宋体"/>
                <w:sz w:val="18"/>
                <w:szCs w:val="18"/>
              </w:rPr>
            </w:pPr>
            <w:r>
              <w:rPr>
                <w:rFonts w:ascii="宋体" w:hAnsi="宋体" w:eastAsia="宋体" w:cs="宋体"/>
                <w:sz w:val="18"/>
                <w:szCs w:val="18"/>
              </w:rPr>
              <w:t>筹资活动现金流出小计</w:t>
            </w:r>
          </w:p>
        </w:tc>
        <w:tc>
          <w:tcPr>
            <w:tcW w:w="1135" w:type="pct"/>
            <w:vAlign w:val="center"/>
          </w:tcPr>
          <w:p w14:paraId="33BA0B89">
            <w:pPr>
              <w:spacing w:before="0" w:after="0" w:line="240" w:lineRule="exact"/>
              <w:jc w:val="right"/>
              <w:rPr>
                <w:rFonts w:ascii="宋体" w:hAnsi="宋体" w:eastAsia="宋体" w:cs="宋体"/>
                <w:sz w:val="18"/>
                <w:szCs w:val="18"/>
              </w:rPr>
            </w:pPr>
            <w:r>
              <w:rPr>
                <w:rFonts w:ascii="宋体" w:hAnsi="宋体" w:eastAsia="宋体" w:cs="宋体"/>
                <w:sz w:val="18"/>
                <w:szCs w:val="18"/>
              </w:rPr>
              <w:t>61,034.65</w:t>
            </w:r>
          </w:p>
        </w:tc>
        <w:tc>
          <w:tcPr>
            <w:tcW w:w="1163" w:type="pct"/>
            <w:vAlign w:val="center"/>
          </w:tcPr>
          <w:p w14:paraId="75394745">
            <w:pPr>
              <w:spacing w:before="0" w:after="0" w:line="240" w:lineRule="exact"/>
              <w:jc w:val="right"/>
              <w:rPr>
                <w:rFonts w:ascii="宋体" w:hAnsi="宋体" w:eastAsia="宋体" w:cs="宋体"/>
                <w:sz w:val="18"/>
                <w:szCs w:val="18"/>
              </w:rPr>
            </w:pPr>
            <w:r>
              <w:rPr>
                <w:rFonts w:ascii="宋体" w:hAnsi="宋体" w:eastAsia="宋体" w:cs="宋体"/>
                <w:sz w:val="18"/>
                <w:szCs w:val="18"/>
              </w:rPr>
              <w:t>15,904.00</w:t>
            </w:r>
          </w:p>
        </w:tc>
      </w:tr>
      <w:tr w14:paraId="01C8F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701" w:type="pct"/>
            <w:shd w:val="clear" w:color="auto" w:fill="D3D3D3"/>
            <w:vAlign w:val="center"/>
          </w:tcPr>
          <w:p w14:paraId="5B5EE944">
            <w:pPr>
              <w:spacing w:before="0" w:after="0" w:line="240" w:lineRule="exact"/>
              <w:jc w:val="left"/>
              <w:rPr>
                <w:rFonts w:ascii="宋体" w:hAnsi="宋体" w:eastAsia="宋体" w:cs="宋体"/>
                <w:sz w:val="18"/>
                <w:szCs w:val="18"/>
              </w:rPr>
            </w:pPr>
            <w:r>
              <w:rPr>
                <w:rFonts w:ascii="宋体" w:hAnsi="宋体" w:eastAsia="宋体" w:cs="宋体"/>
                <w:sz w:val="18"/>
                <w:szCs w:val="18"/>
              </w:rPr>
              <w:t>筹资活动产生的现金流量净额</w:t>
            </w:r>
          </w:p>
        </w:tc>
        <w:tc>
          <w:tcPr>
            <w:tcW w:w="1135" w:type="pct"/>
            <w:vAlign w:val="center"/>
          </w:tcPr>
          <w:p w14:paraId="68C39A53">
            <w:pPr>
              <w:spacing w:before="0" w:after="0" w:line="240" w:lineRule="exact"/>
              <w:jc w:val="right"/>
              <w:rPr>
                <w:rFonts w:ascii="宋体" w:hAnsi="宋体" w:eastAsia="宋体" w:cs="宋体"/>
                <w:sz w:val="18"/>
                <w:szCs w:val="18"/>
              </w:rPr>
            </w:pPr>
            <w:r>
              <w:rPr>
                <w:rFonts w:ascii="宋体" w:hAnsi="宋体" w:eastAsia="宋体" w:cs="宋体"/>
                <w:sz w:val="18"/>
                <w:szCs w:val="18"/>
              </w:rPr>
              <w:t>-61,034.65</w:t>
            </w:r>
          </w:p>
        </w:tc>
        <w:tc>
          <w:tcPr>
            <w:tcW w:w="1163" w:type="pct"/>
            <w:vAlign w:val="center"/>
          </w:tcPr>
          <w:p w14:paraId="139B3F5D">
            <w:pPr>
              <w:spacing w:before="0" w:after="0" w:line="240" w:lineRule="exact"/>
              <w:jc w:val="right"/>
              <w:rPr>
                <w:rFonts w:ascii="宋体" w:hAnsi="宋体" w:eastAsia="宋体" w:cs="宋体"/>
                <w:sz w:val="18"/>
                <w:szCs w:val="18"/>
              </w:rPr>
            </w:pPr>
            <w:r>
              <w:rPr>
                <w:rFonts w:ascii="宋体" w:hAnsi="宋体" w:eastAsia="宋体" w:cs="宋体"/>
                <w:sz w:val="18"/>
                <w:szCs w:val="18"/>
              </w:rPr>
              <w:t>-15,904.00</w:t>
            </w:r>
          </w:p>
        </w:tc>
      </w:tr>
      <w:tr w14:paraId="159B2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701" w:type="pct"/>
            <w:shd w:val="clear" w:color="auto" w:fill="D3D3D3"/>
            <w:vAlign w:val="center"/>
          </w:tcPr>
          <w:p w14:paraId="3D091860">
            <w:pPr>
              <w:spacing w:before="0" w:after="0" w:line="240" w:lineRule="exact"/>
              <w:jc w:val="left"/>
              <w:rPr>
                <w:rFonts w:ascii="宋体" w:hAnsi="宋体" w:eastAsia="宋体" w:cs="宋体"/>
                <w:sz w:val="18"/>
                <w:szCs w:val="18"/>
              </w:rPr>
            </w:pPr>
            <w:r>
              <w:rPr>
                <w:rFonts w:ascii="宋体" w:hAnsi="宋体" w:eastAsia="宋体" w:cs="宋体"/>
                <w:sz w:val="18"/>
                <w:szCs w:val="18"/>
              </w:rPr>
              <w:t>四、汇率变动对现金及现金等价物的影响</w:t>
            </w:r>
          </w:p>
        </w:tc>
        <w:tc>
          <w:tcPr>
            <w:tcW w:w="1135" w:type="pct"/>
            <w:vAlign w:val="center"/>
          </w:tcPr>
          <w:p w14:paraId="72C50239">
            <w:pPr>
              <w:spacing w:before="0" w:after="0" w:line="240" w:lineRule="exact"/>
              <w:jc w:val="right"/>
              <w:rPr>
                <w:rFonts w:ascii="宋体" w:hAnsi="宋体" w:eastAsia="宋体" w:cs="宋体"/>
                <w:sz w:val="18"/>
                <w:szCs w:val="18"/>
              </w:rPr>
            </w:pPr>
            <w:r>
              <w:rPr>
                <w:rFonts w:ascii="宋体" w:hAnsi="宋体" w:eastAsia="宋体" w:cs="宋体"/>
                <w:sz w:val="18"/>
                <w:szCs w:val="18"/>
              </w:rPr>
              <w:t>-54,369.71</w:t>
            </w:r>
          </w:p>
        </w:tc>
        <w:tc>
          <w:tcPr>
            <w:tcW w:w="1163" w:type="pct"/>
            <w:vAlign w:val="center"/>
          </w:tcPr>
          <w:p w14:paraId="4D6357CF">
            <w:pPr>
              <w:spacing w:before="0" w:after="0" w:line="240" w:lineRule="exact"/>
              <w:jc w:val="right"/>
              <w:rPr>
                <w:rFonts w:ascii="宋体" w:hAnsi="宋体" w:eastAsia="宋体" w:cs="宋体"/>
                <w:sz w:val="18"/>
                <w:szCs w:val="18"/>
              </w:rPr>
            </w:pPr>
            <w:r>
              <w:rPr>
                <w:rFonts w:ascii="宋体" w:hAnsi="宋体" w:eastAsia="宋体" w:cs="宋体"/>
                <w:sz w:val="18"/>
                <w:szCs w:val="18"/>
              </w:rPr>
              <w:t>44,173.65</w:t>
            </w:r>
          </w:p>
        </w:tc>
      </w:tr>
      <w:tr w14:paraId="3DA7F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701" w:type="pct"/>
            <w:shd w:val="clear" w:color="auto" w:fill="D3D3D3"/>
            <w:vAlign w:val="center"/>
          </w:tcPr>
          <w:p w14:paraId="505FB959">
            <w:pPr>
              <w:spacing w:before="0" w:after="0" w:line="240" w:lineRule="exact"/>
              <w:jc w:val="left"/>
              <w:rPr>
                <w:rFonts w:ascii="宋体" w:hAnsi="宋体" w:eastAsia="宋体" w:cs="宋体"/>
                <w:sz w:val="18"/>
                <w:szCs w:val="18"/>
              </w:rPr>
            </w:pPr>
            <w:r>
              <w:rPr>
                <w:rFonts w:ascii="宋体" w:hAnsi="宋体" w:eastAsia="宋体" w:cs="宋体"/>
                <w:sz w:val="18"/>
                <w:szCs w:val="18"/>
              </w:rPr>
              <w:t>五、现金及现金等价物净增加额</w:t>
            </w:r>
          </w:p>
        </w:tc>
        <w:tc>
          <w:tcPr>
            <w:tcW w:w="1135" w:type="pct"/>
            <w:vAlign w:val="center"/>
          </w:tcPr>
          <w:p w14:paraId="14BBDA46">
            <w:pPr>
              <w:spacing w:before="0" w:after="0" w:line="240" w:lineRule="exact"/>
              <w:jc w:val="right"/>
              <w:rPr>
                <w:rFonts w:ascii="宋体" w:hAnsi="宋体" w:eastAsia="宋体" w:cs="宋体"/>
                <w:sz w:val="18"/>
                <w:szCs w:val="18"/>
              </w:rPr>
            </w:pPr>
            <w:r>
              <w:rPr>
                <w:rFonts w:ascii="宋体" w:hAnsi="宋体" w:eastAsia="宋体" w:cs="宋体"/>
                <w:sz w:val="18"/>
                <w:szCs w:val="18"/>
              </w:rPr>
              <w:t>-14,388,769.29</w:t>
            </w:r>
          </w:p>
        </w:tc>
        <w:tc>
          <w:tcPr>
            <w:tcW w:w="1163" w:type="pct"/>
            <w:vAlign w:val="center"/>
          </w:tcPr>
          <w:p w14:paraId="170644BE">
            <w:pPr>
              <w:spacing w:before="0" w:after="0" w:line="240" w:lineRule="exact"/>
              <w:jc w:val="right"/>
              <w:rPr>
                <w:rFonts w:ascii="宋体" w:hAnsi="宋体" w:eastAsia="宋体" w:cs="宋体"/>
                <w:sz w:val="18"/>
                <w:szCs w:val="18"/>
              </w:rPr>
            </w:pPr>
            <w:r>
              <w:rPr>
                <w:rFonts w:ascii="宋体" w:hAnsi="宋体" w:eastAsia="宋体" w:cs="宋体"/>
                <w:sz w:val="18"/>
                <w:szCs w:val="18"/>
              </w:rPr>
              <w:t>31,052,959.73</w:t>
            </w:r>
          </w:p>
        </w:tc>
      </w:tr>
      <w:tr w14:paraId="0904F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701" w:type="pct"/>
            <w:shd w:val="clear" w:color="auto" w:fill="D3D3D3"/>
            <w:vAlign w:val="center"/>
          </w:tcPr>
          <w:p w14:paraId="27E4620E">
            <w:pPr>
              <w:spacing w:before="0" w:after="0" w:line="240" w:lineRule="exact"/>
              <w:ind w:firstLine="180" w:firstLineChars="100"/>
              <w:jc w:val="left"/>
              <w:rPr>
                <w:rFonts w:ascii="宋体" w:hAnsi="宋体" w:eastAsia="宋体" w:cs="宋体"/>
                <w:sz w:val="18"/>
                <w:szCs w:val="18"/>
              </w:rPr>
            </w:pPr>
            <w:r>
              <w:rPr>
                <w:rFonts w:ascii="宋体" w:hAnsi="宋体" w:eastAsia="宋体" w:cs="宋体"/>
                <w:sz w:val="18"/>
                <w:szCs w:val="18"/>
              </w:rPr>
              <w:t>加：期初现金及现金等价物余额</w:t>
            </w:r>
          </w:p>
        </w:tc>
        <w:tc>
          <w:tcPr>
            <w:tcW w:w="1135" w:type="pct"/>
            <w:vAlign w:val="center"/>
          </w:tcPr>
          <w:p w14:paraId="67BD5DE9">
            <w:pPr>
              <w:spacing w:before="0" w:after="0" w:line="240" w:lineRule="exact"/>
              <w:jc w:val="right"/>
              <w:rPr>
                <w:rFonts w:ascii="宋体" w:hAnsi="宋体" w:eastAsia="宋体" w:cs="宋体"/>
                <w:sz w:val="18"/>
                <w:szCs w:val="18"/>
              </w:rPr>
            </w:pPr>
            <w:r>
              <w:rPr>
                <w:rFonts w:ascii="宋体" w:hAnsi="宋体" w:eastAsia="宋体" w:cs="宋体"/>
                <w:sz w:val="18"/>
                <w:szCs w:val="18"/>
              </w:rPr>
              <w:t>239,040,585.85</w:t>
            </w:r>
          </w:p>
        </w:tc>
        <w:tc>
          <w:tcPr>
            <w:tcW w:w="1163" w:type="pct"/>
            <w:vAlign w:val="center"/>
          </w:tcPr>
          <w:p w14:paraId="60183B81">
            <w:pPr>
              <w:spacing w:before="0" w:after="0" w:line="240" w:lineRule="exact"/>
              <w:jc w:val="right"/>
              <w:rPr>
                <w:rFonts w:ascii="宋体" w:hAnsi="宋体" w:eastAsia="宋体" w:cs="宋体"/>
                <w:sz w:val="18"/>
                <w:szCs w:val="18"/>
              </w:rPr>
            </w:pPr>
            <w:r>
              <w:rPr>
                <w:rFonts w:ascii="宋体" w:hAnsi="宋体" w:eastAsia="宋体" w:cs="宋体"/>
                <w:sz w:val="18"/>
                <w:szCs w:val="18"/>
              </w:rPr>
              <w:t>169,938,139.07</w:t>
            </w:r>
          </w:p>
        </w:tc>
      </w:tr>
      <w:tr w14:paraId="5D9A5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701" w:type="pct"/>
            <w:shd w:val="clear" w:color="auto" w:fill="D3D3D3"/>
            <w:vAlign w:val="center"/>
          </w:tcPr>
          <w:p w14:paraId="0B056381">
            <w:pPr>
              <w:spacing w:before="0" w:after="0" w:line="240" w:lineRule="exact"/>
              <w:jc w:val="left"/>
              <w:rPr>
                <w:rFonts w:ascii="宋体" w:hAnsi="宋体" w:eastAsia="宋体" w:cs="宋体"/>
                <w:sz w:val="18"/>
                <w:szCs w:val="18"/>
              </w:rPr>
            </w:pPr>
            <w:r>
              <w:rPr>
                <w:rFonts w:ascii="宋体" w:hAnsi="宋体" w:eastAsia="宋体" w:cs="宋体"/>
                <w:sz w:val="18"/>
                <w:szCs w:val="18"/>
              </w:rPr>
              <w:t>六、期末现金及现金等价物余额</w:t>
            </w:r>
          </w:p>
        </w:tc>
        <w:tc>
          <w:tcPr>
            <w:tcW w:w="1135" w:type="pct"/>
            <w:vAlign w:val="center"/>
          </w:tcPr>
          <w:p w14:paraId="6197283D">
            <w:pPr>
              <w:spacing w:before="0" w:after="0" w:line="240" w:lineRule="exact"/>
              <w:jc w:val="right"/>
              <w:rPr>
                <w:rFonts w:ascii="宋体" w:hAnsi="宋体" w:eastAsia="宋体" w:cs="宋体"/>
                <w:sz w:val="18"/>
                <w:szCs w:val="18"/>
              </w:rPr>
            </w:pPr>
            <w:r>
              <w:rPr>
                <w:rFonts w:ascii="宋体" w:hAnsi="宋体" w:eastAsia="宋体" w:cs="宋体"/>
                <w:sz w:val="18"/>
                <w:szCs w:val="18"/>
              </w:rPr>
              <w:t>224,651,816.56</w:t>
            </w:r>
          </w:p>
        </w:tc>
        <w:tc>
          <w:tcPr>
            <w:tcW w:w="1163" w:type="pct"/>
            <w:vAlign w:val="center"/>
          </w:tcPr>
          <w:p w14:paraId="7EDECCDB">
            <w:pPr>
              <w:spacing w:before="0" w:after="0" w:line="240" w:lineRule="exact"/>
              <w:jc w:val="right"/>
              <w:rPr>
                <w:rFonts w:ascii="宋体" w:hAnsi="宋体" w:eastAsia="宋体" w:cs="宋体"/>
                <w:sz w:val="18"/>
                <w:szCs w:val="18"/>
              </w:rPr>
            </w:pPr>
            <w:r>
              <w:rPr>
                <w:rFonts w:ascii="宋体" w:hAnsi="宋体" w:eastAsia="宋体" w:cs="宋体"/>
                <w:sz w:val="18"/>
                <w:szCs w:val="18"/>
              </w:rPr>
              <w:t>200,991,098.80</w:t>
            </w:r>
          </w:p>
        </w:tc>
      </w:tr>
    </w:tbl>
    <w:p w14:paraId="7E4B5397">
      <w:pPr>
        <w:keepNext/>
        <w:keepLines/>
        <w:spacing w:before="300" w:after="300" w:line="280" w:lineRule="exact"/>
        <w:jc w:val="left"/>
        <w:outlineLvl w:val="1"/>
        <w:rPr>
          <w:rFonts w:ascii="宋体" w:hAnsi="宋体" w:eastAsia="宋体" w:cs="宋体"/>
          <w:b/>
          <w:bCs/>
          <w:sz w:val="25"/>
          <w:szCs w:val="25"/>
        </w:rPr>
      </w:pPr>
      <w:bookmarkStart w:id="13" w:name="_Toc988902"/>
      <w:r>
        <w:rPr>
          <w:rFonts w:ascii="宋体" w:hAnsi="宋体" w:eastAsia="宋体" w:cs="宋体"/>
          <w:b/>
          <w:bCs/>
          <w:sz w:val="25"/>
          <w:szCs w:val="25"/>
        </w:rPr>
        <w:t>（二）2025年起首次执行新会计准则调整首次执行当年年初财务报表相关项目情况</w:t>
      </w:r>
      <w:bookmarkEnd w:id="13"/>
    </w:p>
    <w:p w14:paraId="315D4E73">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46E4D700">
      <w:pPr>
        <w:keepNext/>
        <w:keepLines/>
        <w:spacing w:before="300" w:after="300" w:line="280" w:lineRule="exact"/>
        <w:jc w:val="left"/>
        <w:outlineLvl w:val="1"/>
        <w:rPr>
          <w:rFonts w:ascii="宋体" w:hAnsi="宋体" w:eastAsia="宋体" w:cs="宋体"/>
          <w:b/>
          <w:bCs/>
          <w:sz w:val="25"/>
          <w:szCs w:val="25"/>
        </w:rPr>
      </w:pPr>
      <w:bookmarkStart w:id="14" w:name="_Toc988903"/>
      <w:r>
        <w:rPr>
          <w:rFonts w:ascii="宋体" w:hAnsi="宋体" w:eastAsia="宋体" w:cs="宋体"/>
          <w:b/>
          <w:bCs/>
          <w:sz w:val="25"/>
          <w:szCs w:val="25"/>
        </w:rPr>
        <w:t>（三）审计报告</w:t>
      </w:r>
      <w:bookmarkEnd w:id="14"/>
    </w:p>
    <w:p w14:paraId="0167698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eastAsia="宋体" w:cs="宋体"/>
          <w:sz w:val="18"/>
          <w:szCs w:val="18"/>
        </w:rPr>
      </w:pPr>
      <w:r>
        <w:rPr>
          <w:rFonts w:ascii="宋体" w:hAnsi="宋体" w:eastAsia="宋体" w:cs="宋体"/>
          <w:sz w:val="18"/>
          <w:szCs w:val="18"/>
        </w:rPr>
        <w:t>第一季度报告是否经过审计</w:t>
      </w:r>
    </w:p>
    <w:p w14:paraId="57B494A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14:paraId="4E56D73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宋体" w:hAnsi="宋体" w:eastAsia="宋体" w:cs="宋体"/>
          <w:sz w:val="18"/>
          <w:szCs w:val="18"/>
        </w:rPr>
      </w:pPr>
      <w:r>
        <w:rPr>
          <w:rFonts w:ascii="宋体" w:hAnsi="宋体" w:eastAsia="宋体" w:cs="宋体"/>
          <w:sz w:val="18"/>
          <w:szCs w:val="18"/>
        </w:rPr>
        <w:t>公司第一季度报告未经审计。</w:t>
      </w:r>
    </w:p>
    <w:p w14:paraId="6075A915">
      <w:pPr>
        <w:spacing w:before="40" w:after="40" w:line="240" w:lineRule="exact"/>
        <w:jc w:val="right"/>
        <w:rPr>
          <w:rFonts w:ascii="宋体" w:hAnsi="宋体" w:eastAsia="宋体" w:cs="宋体"/>
          <w:sz w:val="18"/>
          <w:szCs w:val="18"/>
        </w:rPr>
      </w:pPr>
    </w:p>
    <w:p w14:paraId="32BFA6E5">
      <w:pPr>
        <w:spacing w:before="100" w:after="100" w:line="400" w:lineRule="exact"/>
        <w:jc w:val="left"/>
        <w:rPr>
          <w:rFonts w:ascii="宋体" w:hAnsi="宋体" w:eastAsia="宋体" w:cs="宋体"/>
          <w:sz w:val="18"/>
          <w:szCs w:val="18"/>
        </w:rPr>
      </w:pPr>
    </w:p>
    <w:p w14:paraId="3B63DF6E">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ascii="宋体" w:hAnsi="宋体" w:eastAsia="宋体" w:cs="宋体"/>
          <w:sz w:val="21"/>
          <w:szCs w:val="21"/>
        </w:rPr>
      </w:pPr>
      <w:r>
        <w:rPr>
          <w:rFonts w:ascii="宋体" w:hAnsi="宋体" w:eastAsia="宋体" w:cs="宋体"/>
          <w:sz w:val="21"/>
          <w:szCs w:val="21"/>
        </w:rPr>
        <w:t>青岛食品股份有限公司</w:t>
      </w:r>
    </w:p>
    <w:p w14:paraId="4ACFF591">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ascii="宋体" w:hAnsi="宋体" w:eastAsia="宋体" w:cs="宋体"/>
          <w:sz w:val="21"/>
          <w:szCs w:val="21"/>
        </w:rPr>
      </w:pPr>
      <w:r>
        <w:rPr>
          <w:rFonts w:ascii="宋体" w:hAnsi="宋体" w:eastAsia="宋体" w:cs="宋体"/>
          <w:sz w:val="21"/>
          <w:szCs w:val="21"/>
        </w:rPr>
        <w:t>董事会</w:t>
      </w:r>
    </w:p>
    <w:p w14:paraId="09610AD6">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2025年4月29日</w:t>
      </w:r>
    </w:p>
    <w:sectPr>
      <w:headerReference r:id="rId3" w:type="default"/>
      <w:footerReference r:id="rId4" w:type="default"/>
      <w:pgSz w:w="11905" w:h="16840"/>
      <w:pgMar w:top="1440" w:right="1134" w:bottom="1440" w:left="1134" w:header="850"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altName w:val="Wingdings"/>
    <w:panose1 w:val="00000000000000000000"/>
    <w:charset w:val="00"/>
    <w:family w:val="auto"/>
    <w:pitch w:val="default"/>
    <w:sig w:usb0="00000000" w:usb1="00000000" w:usb2="00000000" w:usb3="00000000" w:csb0="0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46445">
    <w:pPr>
      <w:jc w:val="right"/>
    </w:pPr>
    <w:r>
      <w:rPr>
        <w:rFonts w:ascii="宋体" w:eastAsia="宋体"/>
        <w:sz w:val="18"/>
        <w:szCs w:val="18"/>
      </w:rPr>
      <w:fldChar w:fldCharType="begin"/>
    </w:r>
    <w:r>
      <w:rPr>
        <w:rFonts w:ascii="宋体" w:eastAsia="宋体"/>
        <w:sz w:val="18"/>
        <w:szCs w:val="18"/>
      </w:rPr>
      <w:instrText xml:space="preserve">PAGE   \* MERGEFORMAT</w:instrText>
    </w:r>
    <w:r>
      <w:rPr>
        <w:rFonts w:ascii="宋体" w:eastAsia="宋体"/>
        <w:sz w:val="18"/>
        <w:szCs w:val="18"/>
      </w:rPr>
      <w:fldChar w:fldCharType="separate"/>
    </w:r>
    <w:r>
      <w:rPr>
        <w:rFonts w:ascii="宋体" w:eastAsia="宋体"/>
        <w:sz w:val="18"/>
        <w:szCs w:val="18"/>
      </w:rPr>
      <w:t>1</w:t>
    </w:r>
    <w:r>
      <w:rPr>
        <w:rFonts w:ascii="宋体" w:eastAsia="宋体"/>
        <w:sz w:val="18"/>
        <w:szCs w:val="1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C4D3E">
    <w:pPr>
      <w:pBdr>
        <w:bottom w:val="single" w:color="auto" w:sz="6" w:space="1"/>
      </w:pBdr>
      <w:jc w:val="right"/>
    </w:pPr>
    <w:r>
      <w:rPr>
        <w:rFonts w:ascii="宋体" w:eastAsia="宋体"/>
        <w:sz w:val="18"/>
        <w:szCs w:val="18"/>
      </w:rPr>
      <w:drawing>
        <wp:anchor distT="0" distB="0" distL="114300" distR="114300" simplePos="0" relativeHeight="251659264" behindDoc="0" locked="0" layoutInCell="1" allowOverlap="1">
          <wp:simplePos x="0" y="0"/>
          <wp:positionH relativeFrom="column">
            <wp:posOffset>-118110</wp:posOffset>
          </wp:positionH>
          <wp:positionV relativeFrom="paragraph">
            <wp:posOffset>-539750</wp:posOffset>
          </wp:positionV>
          <wp:extent cx="952500" cy="952500"/>
          <wp:effectExtent l="0" t="0" r="0" b="0"/>
          <wp:wrapNone/>
          <wp:docPr id="1" name="图片 1" descr="微信图片_20231201160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31201160657"/>
                  <pic:cNvPicPr>
                    <a:picLocks noChangeAspect="1"/>
                  </pic:cNvPicPr>
                </pic:nvPicPr>
                <pic:blipFill>
                  <a:blip r:embed="rId1"/>
                  <a:stretch>
                    <a:fillRect/>
                  </a:stretch>
                </pic:blipFill>
                <pic:spPr>
                  <a:xfrm>
                    <a:off x="0" y="0"/>
                    <a:ext cx="952500" cy="952500"/>
                  </a:xfrm>
                  <a:prstGeom prst="rect">
                    <a:avLst/>
                  </a:prstGeom>
                </pic:spPr>
              </pic:pic>
            </a:graphicData>
          </a:graphic>
        </wp:anchor>
      </w:drawing>
    </w:r>
    <w:r>
      <w:rPr>
        <w:rFonts w:ascii="宋体" w:eastAsia="宋体"/>
        <w:sz w:val="18"/>
        <w:szCs w:val="18"/>
      </w:rPr>
      <w:t>青岛食品股份有限公司2025年第一季度报告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ompat>
    <w:doNotExpandShiftReturn/>
    <w:useFELayout/>
    <w:compatSetting w:name="compatibilityMode" w:uri="http://schemas.microsoft.com/office/word" w:val="14"/>
  </w:compat>
  <w:rsids>
    <w:rsidRoot w:val="00000000"/>
    <w:rsid w:val="0BFD5E25"/>
    <w:rsid w:val="7E705B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Pages>
  <Words>1335</Words>
  <Characters>1973</Characters>
  <TotalTime>17</TotalTime>
  <ScaleCrop>false</ScaleCrop>
  <LinksUpToDate>false</LinksUpToDate>
  <CharactersWithSpaces>2017</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2025-04-27T03:40:00Z</dcterms:created>
  <dc:creator>Administrator</dc:creator>
  <cp:lastModifiedBy>李春宏</cp:lastModifiedBy>
  <dcterms:modified xsi:type="dcterms:W3CDTF">2025-04-27T07:42:39Z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eyJoZGlkIjoiYTE2YjhhMjQ3NWEyOTgzMmEzNDFiNjBlMTVjNmYyNGIiLCJ1c2VySWQiOiIxNTc0NzMxNDQ4In0=</vt:lpwstr>
  </property>
  <property fmtid="{D5CDD505-2E9C-101B-9397-08002B2CF9AE}" pid="3" name="KSOProductBuildVer">
    <vt:lpwstr>2052-12.1.0.20784</vt:lpwstr>
  </property>
  <property fmtid="{D5CDD505-2E9C-101B-9397-08002B2CF9AE}" pid="4" name="ICV">
    <vt:lpwstr>B116A375FD1447B09E1BEE5AE39F5955_12</vt:lpwstr>
  </property>
</Properties>
</file>