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CD4E9">
      <w:pPr>
        <w:keepNext w:val="0"/>
        <w:keepLines w:val="0"/>
        <w:pageBreakBefore w:val="0"/>
        <w:widowControl w:val="0"/>
        <w:kinsoku/>
        <w:wordWrap/>
        <w:overflowPunct/>
        <w:topLinePunct w:val="0"/>
        <w:autoSpaceDE/>
        <w:autoSpaceDN/>
        <w:bidi w:val="0"/>
        <w:adjustRightInd/>
        <w:snapToGrid/>
        <w:spacing w:before="200" w:after="600" w:line="560" w:lineRule="exact"/>
        <w:jc w:val="center"/>
        <w:textAlignment w:val="auto"/>
        <w:rPr>
          <w:rFonts w:hint="default" w:ascii="宋体" w:hAnsi="宋体" w:eastAsia="宋体" w:cs="宋体"/>
          <w:sz w:val="18"/>
          <w:szCs w:val="18"/>
          <w:lang w:val="en-US" w:eastAsia="zh-CN"/>
        </w:rPr>
      </w:pPr>
      <w:r>
        <w:rPr>
          <w:rFonts w:ascii="宋体" w:hAnsi="宋体" w:eastAsia="宋体" w:cs="宋体"/>
          <w:sz w:val="18"/>
          <w:szCs w:val="18"/>
        </w:rPr>
        <w:t>证券代码：001219                      证券简称：青岛食品                      公告编号：</w:t>
      </w:r>
      <w:r>
        <w:rPr>
          <w:rFonts w:hint="eastAsia" w:ascii="宋体" w:hAnsi="宋体" w:eastAsia="宋体" w:cs="宋体"/>
          <w:sz w:val="18"/>
          <w:szCs w:val="18"/>
          <w:lang w:val="en-US" w:eastAsia="zh-CN"/>
        </w:rPr>
        <w:t>2026-013</w:t>
      </w:r>
    </w:p>
    <w:p w14:paraId="610F2202">
      <w:pPr>
        <w:keepNext w:val="0"/>
        <w:keepLines w:val="0"/>
        <w:pageBreakBefore w:val="0"/>
        <w:widowControl w:val="0"/>
        <w:kinsoku/>
        <w:wordWrap/>
        <w:overflowPunct/>
        <w:topLinePunct w:val="0"/>
        <w:autoSpaceDE/>
        <w:autoSpaceDN/>
        <w:bidi w:val="0"/>
        <w:adjustRightInd/>
        <w:snapToGrid/>
        <w:spacing w:before="0" w:after="600" w:line="400" w:lineRule="exact"/>
        <w:jc w:val="center"/>
        <w:textAlignment w:val="auto"/>
        <w:rPr>
          <w:rFonts w:ascii="宋体" w:hAnsi="宋体" w:eastAsia="宋体" w:cs="宋体"/>
          <w:b/>
          <w:bCs/>
          <w:sz w:val="36"/>
          <w:szCs w:val="36"/>
        </w:rPr>
      </w:pPr>
      <w:r>
        <w:rPr>
          <w:rFonts w:ascii="宋体" w:hAnsi="宋体" w:eastAsia="宋体" w:cs="宋体"/>
          <w:b/>
          <w:bCs/>
          <w:sz w:val="36"/>
          <w:szCs w:val="36"/>
        </w:rPr>
        <w:t>青岛食品股份有限公司2025年年度报告摘要</w:t>
      </w:r>
    </w:p>
    <w:p w14:paraId="1C0EED69">
      <w:pPr>
        <w:pStyle w:val="2"/>
        <w:keepNext/>
        <w:keepLines/>
        <w:pageBreakBefore w:val="0"/>
        <w:widowControl w:val="0"/>
        <w:kinsoku/>
        <w:wordWrap/>
        <w:overflowPunct/>
        <w:topLinePunct w:val="0"/>
        <w:autoSpaceDE/>
        <w:autoSpaceDN/>
        <w:bidi w:val="0"/>
        <w:adjustRightInd/>
        <w:snapToGrid/>
        <w:spacing w:before="100" w:after="200" w:line="320" w:lineRule="exact"/>
        <w:jc w:val="left"/>
        <w:textAlignment w:val="auto"/>
        <w:outlineLvl w:val="1"/>
        <w:rPr>
          <w:rFonts w:ascii="宋体" w:hAnsi="宋体" w:eastAsia="宋体" w:cs="宋体"/>
          <w:b/>
          <w:bCs/>
          <w:sz w:val="24"/>
          <w:szCs w:val="24"/>
        </w:rPr>
      </w:pPr>
      <w:bookmarkStart w:id="0" w:name="_Toc988889"/>
      <w:r>
        <w:rPr>
          <w:rFonts w:ascii="宋体" w:hAnsi="宋体" w:eastAsia="宋体" w:cs="宋体"/>
          <w:b/>
          <w:bCs/>
          <w:sz w:val="24"/>
          <w:szCs w:val="24"/>
        </w:rPr>
        <w:t>一、重要提示</w:t>
      </w:r>
      <w:bookmarkEnd w:id="0"/>
    </w:p>
    <w:p w14:paraId="0634D9A7">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本年度报告摘要来自年度报告全文，为全面了解本公司的经营成果、财务状况及未来发展规划，投资者应当到证监会指定媒体仔细阅读年度报告全文。</w:t>
      </w:r>
    </w:p>
    <w:p w14:paraId="7B1B9B3E">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所有董事均已出席了审议本报告的董事会会议。</w:t>
      </w:r>
    </w:p>
    <w:p w14:paraId="5415A9D0">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非标准审计意见提示</w:t>
      </w:r>
    </w:p>
    <w:p w14:paraId="55371802">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61CECC6">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董事会审议的报告期利润分配预案或公积金转增股本预案</w:t>
      </w:r>
    </w:p>
    <w:p w14:paraId="139176E0">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48924C83">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是否以公积金转增股本</w:t>
      </w:r>
    </w:p>
    <w:p w14:paraId="1061D2A2">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02EDB37D">
      <w:pPr>
        <w:keepNext w:val="0"/>
        <w:keepLines w:val="0"/>
        <w:pageBreakBefore w:val="0"/>
        <w:widowControl w:val="0"/>
        <w:kinsoku/>
        <w:wordWrap/>
        <w:overflowPunct/>
        <w:topLinePunct w:val="0"/>
        <w:autoSpaceDE/>
        <w:autoSpaceDN/>
        <w:bidi w:val="0"/>
        <w:adjustRightInd/>
        <w:snapToGrid/>
        <w:spacing w:before="40" w:after="4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公司经本次董事会审议通过的利润分配预案为：以194,983,750</w:t>
      </w:r>
      <w:r>
        <w:rPr>
          <w:rFonts w:hint="eastAsia" w:ascii="宋体" w:hAnsi="宋体" w:cs="宋体"/>
          <w:sz w:val="18"/>
          <w:szCs w:val="18"/>
          <w:lang w:val="en-US" w:eastAsia="zh-CN"/>
        </w:rPr>
        <w:t>股</w:t>
      </w:r>
      <w:r>
        <w:rPr>
          <w:rFonts w:ascii="宋体" w:hAnsi="宋体" w:eastAsia="宋体" w:cs="宋体"/>
          <w:sz w:val="18"/>
          <w:szCs w:val="18"/>
        </w:rPr>
        <w:t>为基数，向全体股东每10股派发现金红利2.50元（含税），送红股0股（含税），不以公积金转增股本。</w:t>
      </w:r>
    </w:p>
    <w:p w14:paraId="42C23BE0">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董事会决议通过的本报告期优先股利润分配预案</w:t>
      </w:r>
    </w:p>
    <w:p w14:paraId="4C3ECC04">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hint="eastAsia" w:ascii="宋体" w:hAnsi="宋体" w:eastAsia="宋体" w:cs="宋体"/>
          <w:sz w:val="18"/>
          <w:szCs w:val="18"/>
          <w:lang w:eastAsia="zh-CN"/>
        </w:rPr>
        <w:t>☑</w:t>
      </w:r>
      <w:r>
        <w:rPr>
          <w:rFonts w:ascii="宋体" w:hAnsi="宋体" w:eastAsia="宋体" w:cs="宋体"/>
          <w:sz w:val="18"/>
          <w:szCs w:val="18"/>
        </w:rPr>
        <w:t>不适用</w:t>
      </w:r>
    </w:p>
    <w:p w14:paraId="4E892F5A">
      <w:pPr>
        <w:pStyle w:val="2"/>
        <w:keepNext/>
        <w:keepLines/>
        <w:pageBreakBefore w:val="0"/>
        <w:widowControl w:val="0"/>
        <w:kinsoku/>
        <w:wordWrap/>
        <w:overflowPunct/>
        <w:topLinePunct w:val="0"/>
        <w:autoSpaceDE/>
        <w:autoSpaceDN/>
        <w:bidi w:val="0"/>
        <w:adjustRightInd/>
        <w:snapToGrid/>
        <w:spacing w:before="100" w:after="200" w:line="320" w:lineRule="exact"/>
        <w:jc w:val="left"/>
        <w:textAlignment w:val="auto"/>
        <w:outlineLvl w:val="1"/>
        <w:rPr>
          <w:rFonts w:ascii="宋体" w:hAnsi="宋体" w:eastAsia="宋体" w:cs="宋体"/>
          <w:b/>
          <w:bCs/>
          <w:sz w:val="24"/>
          <w:szCs w:val="24"/>
        </w:rPr>
      </w:pPr>
      <w:bookmarkStart w:id="1" w:name="_Toc988890"/>
      <w:r>
        <w:rPr>
          <w:rFonts w:ascii="宋体" w:hAnsi="宋体" w:eastAsia="宋体" w:cs="宋体"/>
          <w:b/>
          <w:bCs/>
          <w:sz w:val="24"/>
          <w:szCs w:val="24"/>
        </w:rPr>
        <w:t>二、公司基本情况</w:t>
      </w:r>
      <w:bookmarkEnd w:id="1"/>
    </w:p>
    <w:p w14:paraId="0E86D68F">
      <w:pPr>
        <w:pStyle w:val="3"/>
        <w:keepNext/>
        <w:keepLines/>
        <w:pageBreakBefore w:val="0"/>
        <w:widowControl w:val="0"/>
        <w:kinsoku/>
        <w:wordWrap/>
        <w:overflowPunct/>
        <w:topLinePunct w:val="0"/>
        <w:autoSpaceDE/>
        <w:autoSpaceDN/>
        <w:bidi w:val="0"/>
        <w:adjustRightInd/>
        <w:snapToGrid/>
        <w:spacing w:before="100" w:after="200" w:line="280" w:lineRule="exact"/>
        <w:jc w:val="left"/>
        <w:textAlignment w:val="auto"/>
        <w:outlineLvl w:val="2"/>
        <w:rPr>
          <w:rFonts w:ascii="宋体" w:hAnsi="宋体" w:eastAsia="宋体" w:cs="宋体"/>
          <w:b/>
          <w:bCs/>
          <w:sz w:val="21"/>
          <w:szCs w:val="21"/>
        </w:rPr>
      </w:pPr>
      <w:bookmarkStart w:id="2" w:name="_Toc988891"/>
      <w:r>
        <w:rPr>
          <w:rFonts w:ascii="宋体" w:hAnsi="宋体" w:eastAsia="宋体" w:cs="宋体"/>
          <w:b/>
          <w:bCs/>
          <w:sz w:val="21"/>
          <w:szCs w:val="21"/>
        </w:rPr>
        <w:t>1、公司简介</w:t>
      </w:r>
      <w:bookmarkEnd w:id="2"/>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3572"/>
        <w:gridCol w:w="1364"/>
        <w:gridCol w:w="2474"/>
      </w:tblGrid>
      <w:tr w14:paraId="4846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0" w:type="dxa"/>
            <w:shd w:val="clear" w:color="auto" w:fill="D3D3D3"/>
            <w:vAlign w:val="center"/>
          </w:tcPr>
          <w:p w14:paraId="41DF3757">
            <w:pPr>
              <w:spacing w:before="40" w:after="40" w:line="240" w:lineRule="exact"/>
              <w:jc w:val="center"/>
              <w:rPr>
                <w:rFonts w:ascii="宋体" w:hAnsi="宋体" w:eastAsia="宋体" w:cs="宋体"/>
                <w:sz w:val="18"/>
                <w:szCs w:val="18"/>
              </w:rPr>
            </w:pPr>
            <w:r>
              <w:rPr>
                <w:rFonts w:ascii="宋体" w:hAnsi="宋体" w:eastAsia="宋体" w:cs="宋体"/>
                <w:sz w:val="18"/>
                <w:szCs w:val="18"/>
              </w:rPr>
              <w:t>股票简称</w:t>
            </w:r>
          </w:p>
        </w:tc>
        <w:tc>
          <w:tcPr>
            <w:tcW w:w="3572" w:type="dxa"/>
            <w:vAlign w:val="center"/>
          </w:tcPr>
          <w:p w14:paraId="022188A7">
            <w:pPr>
              <w:spacing w:before="0" w:after="0" w:line="240" w:lineRule="exact"/>
              <w:jc w:val="left"/>
              <w:rPr>
                <w:rFonts w:ascii="宋体" w:hAnsi="宋体" w:eastAsia="宋体" w:cs="宋体"/>
                <w:sz w:val="18"/>
                <w:szCs w:val="18"/>
              </w:rPr>
            </w:pPr>
            <w:r>
              <w:rPr>
                <w:rFonts w:ascii="宋体" w:hAnsi="宋体" w:eastAsia="宋体" w:cs="宋体"/>
                <w:sz w:val="18"/>
                <w:szCs w:val="18"/>
              </w:rPr>
              <w:t>青岛食品</w:t>
            </w:r>
          </w:p>
        </w:tc>
        <w:tc>
          <w:tcPr>
            <w:tcW w:w="1364" w:type="dxa"/>
            <w:shd w:val="clear" w:color="auto" w:fill="D3D3D3"/>
            <w:vAlign w:val="center"/>
          </w:tcPr>
          <w:p w14:paraId="273BDBCD">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474" w:type="dxa"/>
            <w:vAlign w:val="center"/>
          </w:tcPr>
          <w:p w14:paraId="3330D1A4">
            <w:pPr>
              <w:spacing w:before="0" w:after="0" w:line="240" w:lineRule="exact"/>
              <w:jc w:val="left"/>
              <w:rPr>
                <w:rFonts w:ascii="宋体" w:hAnsi="宋体" w:eastAsia="宋体" w:cs="宋体"/>
                <w:sz w:val="18"/>
                <w:szCs w:val="18"/>
              </w:rPr>
            </w:pPr>
            <w:r>
              <w:rPr>
                <w:rFonts w:ascii="宋体" w:hAnsi="宋体" w:eastAsia="宋体" w:cs="宋体"/>
                <w:sz w:val="18"/>
                <w:szCs w:val="18"/>
              </w:rPr>
              <w:t>001219</w:t>
            </w:r>
          </w:p>
        </w:tc>
      </w:tr>
      <w:tr w14:paraId="30FE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0" w:type="dxa"/>
            <w:shd w:val="clear" w:color="auto" w:fill="D3D3D3"/>
            <w:vAlign w:val="center"/>
          </w:tcPr>
          <w:p w14:paraId="57659E2B">
            <w:pPr>
              <w:spacing w:before="40" w:after="40" w:line="240" w:lineRule="exact"/>
              <w:jc w:val="center"/>
              <w:rPr>
                <w:rFonts w:ascii="宋体" w:hAnsi="宋体" w:eastAsia="宋体" w:cs="宋体"/>
                <w:sz w:val="18"/>
                <w:szCs w:val="18"/>
              </w:rPr>
            </w:pPr>
            <w:r>
              <w:rPr>
                <w:rFonts w:ascii="宋体" w:hAnsi="宋体" w:eastAsia="宋体" w:cs="宋体"/>
                <w:sz w:val="18"/>
                <w:szCs w:val="18"/>
              </w:rPr>
              <w:t>股票上市交易所</w:t>
            </w:r>
          </w:p>
        </w:tc>
        <w:tc>
          <w:tcPr>
            <w:tcW w:w="7410" w:type="dxa"/>
            <w:gridSpan w:val="3"/>
            <w:vAlign w:val="center"/>
          </w:tcPr>
          <w:p w14:paraId="781A44D5">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14:paraId="7063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0" w:type="dxa"/>
            <w:shd w:val="clear" w:color="auto" w:fill="D3D3D3"/>
            <w:vAlign w:val="center"/>
          </w:tcPr>
          <w:p w14:paraId="0B981D4D">
            <w:pPr>
              <w:spacing w:before="40" w:after="40" w:line="240" w:lineRule="exact"/>
              <w:jc w:val="center"/>
              <w:rPr>
                <w:rFonts w:ascii="宋体" w:hAnsi="宋体" w:eastAsia="宋体" w:cs="宋体"/>
                <w:sz w:val="18"/>
                <w:szCs w:val="18"/>
              </w:rPr>
            </w:pPr>
            <w:r>
              <w:rPr>
                <w:rFonts w:ascii="宋体" w:hAnsi="宋体" w:eastAsia="宋体" w:cs="宋体"/>
                <w:sz w:val="18"/>
                <w:szCs w:val="18"/>
              </w:rPr>
              <w:t>联系人和联系方式</w:t>
            </w:r>
          </w:p>
        </w:tc>
        <w:tc>
          <w:tcPr>
            <w:tcW w:w="3572" w:type="dxa"/>
            <w:shd w:val="clear" w:color="auto" w:fill="D3D3D3"/>
            <w:vAlign w:val="center"/>
          </w:tcPr>
          <w:p w14:paraId="462952C2">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838" w:type="dxa"/>
            <w:gridSpan w:val="2"/>
            <w:shd w:val="clear" w:color="auto" w:fill="D3D3D3"/>
            <w:vAlign w:val="center"/>
          </w:tcPr>
          <w:p w14:paraId="21C9B19B">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14:paraId="56FB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0" w:type="dxa"/>
            <w:shd w:val="clear" w:color="auto" w:fill="D3D3D3"/>
            <w:vAlign w:val="center"/>
          </w:tcPr>
          <w:p w14:paraId="0435F34D">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3572" w:type="dxa"/>
            <w:vAlign w:val="center"/>
          </w:tcPr>
          <w:p w14:paraId="36F6A693">
            <w:pPr>
              <w:spacing w:before="0" w:after="0" w:line="240" w:lineRule="exact"/>
              <w:jc w:val="left"/>
              <w:rPr>
                <w:rFonts w:ascii="宋体" w:hAnsi="宋体" w:eastAsia="宋体" w:cs="宋体"/>
                <w:sz w:val="18"/>
                <w:szCs w:val="18"/>
              </w:rPr>
            </w:pPr>
            <w:r>
              <w:rPr>
                <w:rFonts w:ascii="宋体" w:hAnsi="宋体" w:eastAsia="宋体" w:cs="宋体"/>
                <w:sz w:val="18"/>
                <w:szCs w:val="18"/>
              </w:rPr>
              <w:t>张松涛</w:t>
            </w:r>
          </w:p>
        </w:tc>
        <w:tc>
          <w:tcPr>
            <w:tcW w:w="3838" w:type="dxa"/>
            <w:gridSpan w:val="2"/>
            <w:vAlign w:val="center"/>
          </w:tcPr>
          <w:p w14:paraId="76B8CAA5">
            <w:pPr>
              <w:spacing w:before="0" w:after="0" w:line="240" w:lineRule="exact"/>
              <w:jc w:val="left"/>
              <w:rPr>
                <w:rFonts w:ascii="宋体" w:hAnsi="宋体" w:eastAsia="宋体" w:cs="宋体"/>
                <w:sz w:val="18"/>
                <w:szCs w:val="18"/>
              </w:rPr>
            </w:pPr>
            <w:r>
              <w:rPr>
                <w:rFonts w:ascii="宋体" w:hAnsi="宋体" w:eastAsia="宋体" w:cs="宋体"/>
                <w:sz w:val="18"/>
                <w:szCs w:val="18"/>
              </w:rPr>
              <w:t>李春宏</w:t>
            </w:r>
          </w:p>
        </w:tc>
      </w:tr>
      <w:tr w14:paraId="13B0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0" w:type="dxa"/>
            <w:shd w:val="clear" w:color="auto" w:fill="D3D3D3"/>
            <w:vAlign w:val="center"/>
          </w:tcPr>
          <w:p w14:paraId="49988693">
            <w:pPr>
              <w:spacing w:before="40" w:after="40" w:line="240" w:lineRule="exact"/>
              <w:jc w:val="center"/>
              <w:rPr>
                <w:rFonts w:ascii="宋体" w:hAnsi="宋体" w:eastAsia="宋体" w:cs="宋体"/>
                <w:sz w:val="18"/>
                <w:szCs w:val="18"/>
              </w:rPr>
            </w:pPr>
            <w:r>
              <w:rPr>
                <w:rFonts w:ascii="宋体" w:hAnsi="宋体" w:eastAsia="宋体" w:cs="宋体"/>
                <w:sz w:val="18"/>
                <w:szCs w:val="18"/>
              </w:rPr>
              <w:t>办公地址</w:t>
            </w:r>
          </w:p>
        </w:tc>
        <w:tc>
          <w:tcPr>
            <w:tcW w:w="3572" w:type="dxa"/>
            <w:vAlign w:val="center"/>
          </w:tcPr>
          <w:p w14:paraId="59371607">
            <w:pPr>
              <w:spacing w:before="0" w:after="0" w:line="240" w:lineRule="exact"/>
              <w:jc w:val="left"/>
              <w:rPr>
                <w:rFonts w:ascii="宋体" w:hAnsi="宋体" w:eastAsia="宋体" w:cs="宋体"/>
                <w:sz w:val="18"/>
                <w:szCs w:val="18"/>
              </w:rPr>
            </w:pPr>
            <w:r>
              <w:rPr>
                <w:rFonts w:ascii="宋体" w:hAnsi="宋体" w:eastAsia="宋体" w:cs="宋体"/>
                <w:sz w:val="18"/>
                <w:szCs w:val="18"/>
              </w:rPr>
              <w:t>青岛市李沧区四流中支路2号</w:t>
            </w:r>
          </w:p>
        </w:tc>
        <w:tc>
          <w:tcPr>
            <w:tcW w:w="3838" w:type="dxa"/>
            <w:gridSpan w:val="2"/>
            <w:vAlign w:val="center"/>
          </w:tcPr>
          <w:p w14:paraId="733965DD">
            <w:pPr>
              <w:spacing w:before="0" w:after="0" w:line="240" w:lineRule="exact"/>
              <w:jc w:val="left"/>
              <w:rPr>
                <w:rFonts w:ascii="宋体" w:hAnsi="宋体" w:eastAsia="宋体" w:cs="宋体"/>
                <w:sz w:val="18"/>
                <w:szCs w:val="18"/>
              </w:rPr>
            </w:pPr>
            <w:r>
              <w:rPr>
                <w:rFonts w:ascii="宋体" w:hAnsi="宋体" w:eastAsia="宋体" w:cs="宋体"/>
                <w:sz w:val="18"/>
                <w:szCs w:val="18"/>
              </w:rPr>
              <w:t>青岛市李沧区四流中支路2号</w:t>
            </w:r>
          </w:p>
        </w:tc>
      </w:tr>
      <w:tr w14:paraId="4BD0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0" w:type="dxa"/>
            <w:shd w:val="clear" w:color="auto" w:fill="D3D3D3"/>
            <w:vAlign w:val="center"/>
          </w:tcPr>
          <w:p w14:paraId="5D69E019">
            <w:pPr>
              <w:spacing w:before="40" w:after="40" w:line="240" w:lineRule="exact"/>
              <w:jc w:val="center"/>
              <w:rPr>
                <w:rFonts w:ascii="宋体" w:hAnsi="宋体" w:eastAsia="宋体" w:cs="宋体"/>
                <w:sz w:val="18"/>
                <w:szCs w:val="18"/>
              </w:rPr>
            </w:pPr>
            <w:r>
              <w:rPr>
                <w:rFonts w:ascii="宋体" w:hAnsi="宋体" w:eastAsia="宋体" w:cs="宋体"/>
                <w:sz w:val="18"/>
                <w:szCs w:val="18"/>
              </w:rPr>
              <w:t>传真</w:t>
            </w:r>
          </w:p>
        </w:tc>
        <w:tc>
          <w:tcPr>
            <w:tcW w:w="3572" w:type="dxa"/>
            <w:vAlign w:val="center"/>
          </w:tcPr>
          <w:p w14:paraId="2543386B">
            <w:pPr>
              <w:spacing w:before="0" w:after="0" w:line="240" w:lineRule="exact"/>
              <w:jc w:val="left"/>
              <w:rPr>
                <w:rFonts w:ascii="宋体" w:hAnsi="宋体" w:eastAsia="宋体" w:cs="宋体"/>
                <w:sz w:val="18"/>
                <w:szCs w:val="18"/>
              </w:rPr>
            </w:pPr>
            <w:r>
              <w:rPr>
                <w:rFonts w:ascii="宋体" w:hAnsi="宋体" w:eastAsia="宋体" w:cs="宋体"/>
                <w:sz w:val="18"/>
                <w:szCs w:val="18"/>
              </w:rPr>
              <w:t>0532-84669955</w:t>
            </w:r>
          </w:p>
        </w:tc>
        <w:tc>
          <w:tcPr>
            <w:tcW w:w="3838" w:type="dxa"/>
            <w:gridSpan w:val="2"/>
            <w:vAlign w:val="center"/>
          </w:tcPr>
          <w:p w14:paraId="77B84FAE">
            <w:pPr>
              <w:spacing w:before="0" w:after="0" w:line="240" w:lineRule="exact"/>
              <w:jc w:val="left"/>
              <w:rPr>
                <w:rFonts w:ascii="宋体" w:hAnsi="宋体" w:eastAsia="宋体" w:cs="宋体"/>
                <w:sz w:val="18"/>
                <w:szCs w:val="18"/>
              </w:rPr>
            </w:pPr>
            <w:r>
              <w:rPr>
                <w:rFonts w:ascii="宋体" w:hAnsi="宋体" w:eastAsia="宋体" w:cs="宋体"/>
                <w:sz w:val="18"/>
                <w:szCs w:val="18"/>
              </w:rPr>
              <w:t>0532-84669955</w:t>
            </w:r>
          </w:p>
        </w:tc>
      </w:tr>
      <w:tr w14:paraId="09E3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0" w:type="dxa"/>
            <w:shd w:val="clear" w:color="auto" w:fill="D3D3D3"/>
            <w:vAlign w:val="center"/>
          </w:tcPr>
          <w:p w14:paraId="0505ED2D">
            <w:pPr>
              <w:spacing w:before="40" w:after="40" w:line="240" w:lineRule="exact"/>
              <w:jc w:val="center"/>
              <w:rPr>
                <w:rFonts w:ascii="宋体" w:hAnsi="宋体" w:eastAsia="宋体" w:cs="宋体"/>
                <w:sz w:val="18"/>
                <w:szCs w:val="18"/>
              </w:rPr>
            </w:pPr>
            <w:r>
              <w:rPr>
                <w:rFonts w:ascii="宋体" w:hAnsi="宋体" w:eastAsia="宋体" w:cs="宋体"/>
                <w:sz w:val="18"/>
                <w:szCs w:val="18"/>
              </w:rPr>
              <w:t>电话</w:t>
            </w:r>
          </w:p>
        </w:tc>
        <w:tc>
          <w:tcPr>
            <w:tcW w:w="3572" w:type="dxa"/>
            <w:vAlign w:val="center"/>
          </w:tcPr>
          <w:p w14:paraId="480A97E3">
            <w:pPr>
              <w:spacing w:before="0" w:after="0" w:line="240" w:lineRule="exact"/>
              <w:jc w:val="left"/>
              <w:rPr>
                <w:rFonts w:ascii="宋体" w:hAnsi="宋体" w:eastAsia="宋体" w:cs="宋体"/>
                <w:sz w:val="18"/>
                <w:szCs w:val="18"/>
              </w:rPr>
            </w:pPr>
            <w:r>
              <w:rPr>
                <w:rFonts w:ascii="宋体" w:hAnsi="宋体" w:eastAsia="宋体" w:cs="宋体"/>
                <w:sz w:val="18"/>
                <w:szCs w:val="18"/>
              </w:rPr>
              <w:t>0532-84633589</w:t>
            </w:r>
          </w:p>
        </w:tc>
        <w:tc>
          <w:tcPr>
            <w:tcW w:w="3838" w:type="dxa"/>
            <w:gridSpan w:val="2"/>
            <w:vAlign w:val="center"/>
          </w:tcPr>
          <w:p w14:paraId="4FF9F44B">
            <w:pPr>
              <w:spacing w:before="0" w:after="0" w:line="240" w:lineRule="exact"/>
              <w:jc w:val="left"/>
              <w:rPr>
                <w:rFonts w:ascii="宋体" w:hAnsi="宋体" w:eastAsia="宋体" w:cs="宋体"/>
                <w:sz w:val="18"/>
                <w:szCs w:val="18"/>
              </w:rPr>
            </w:pPr>
            <w:r>
              <w:rPr>
                <w:rFonts w:ascii="宋体" w:hAnsi="宋体" w:eastAsia="宋体" w:cs="宋体"/>
                <w:sz w:val="18"/>
                <w:szCs w:val="18"/>
              </w:rPr>
              <w:t>0532-84633589</w:t>
            </w:r>
          </w:p>
        </w:tc>
      </w:tr>
      <w:tr w14:paraId="40AB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0" w:type="dxa"/>
            <w:shd w:val="clear" w:color="auto" w:fill="D3D3D3"/>
            <w:vAlign w:val="center"/>
          </w:tcPr>
          <w:p w14:paraId="23FA9B3B">
            <w:pPr>
              <w:spacing w:before="40" w:after="40" w:line="240" w:lineRule="exact"/>
              <w:jc w:val="center"/>
              <w:rPr>
                <w:rFonts w:ascii="宋体" w:hAnsi="宋体" w:eastAsia="宋体" w:cs="宋体"/>
                <w:sz w:val="18"/>
                <w:szCs w:val="18"/>
              </w:rPr>
            </w:pPr>
            <w:r>
              <w:rPr>
                <w:rFonts w:ascii="宋体" w:hAnsi="宋体" w:eastAsia="宋体" w:cs="宋体"/>
                <w:sz w:val="18"/>
                <w:szCs w:val="18"/>
              </w:rPr>
              <w:t>电子信箱</w:t>
            </w:r>
          </w:p>
        </w:tc>
        <w:tc>
          <w:tcPr>
            <w:tcW w:w="3572" w:type="dxa"/>
            <w:vAlign w:val="center"/>
          </w:tcPr>
          <w:p w14:paraId="4101C718">
            <w:pPr>
              <w:spacing w:before="0" w:after="0" w:line="240" w:lineRule="exact"/>
              <w:jc w:val="left"/>
              <w:rPr>
                <w:rFonts w:ascii="宋体" w:hAnsi="宋体" w:eastAsia="宋体" w:cs="宋体"/>
                <w:sz w:val="18"/>
                <w:szCs w:val="18"/>
              </w:rPr>
            </w:pPr>
            <w:r>
              <w:rPr>
                <w:rFonts w:ascii="宋体" w:hAnsi="宋体" w:eastAsia="宋体" w:cs="宋体"/>
                <w:sz w:val="18"/>
                <w:szCs w:val="18"/>
              </w:rPr>
              <w:t>ir@qdfood.com</w:t>
            </w:r>
          </w:p>
        </w:tc>
        <w:tc>
          <w:tcPr>
            <w:tcW w:w="3838" w:type="dxa"/>
            <w:gridSpan w:val="2"/>
            <w:vAlign w:val="center"/>
          </w:tcPr>
          <w:p w14:paraId="099891BE">
            <w:pPr>
              <w:spacing w:before="0" w:after="0" w:line="240" w:lineRule="exact"/>
              <w:jc w:val="left"/>
              <w:rPr>
                <w:rFonts w:ascii="宋体" w:hAnsi="宋体" w:eastAsia="宋体" w:cs="宋体"/>
                <w:sz w:val="18"/>
                <w:szCs w:val="18"/>
              </w:rPr>
            </w:pPr>
            <w:r>
              <w:rPr>
                <w:rFonts w:ascii="宋体" w:hAnsi="宋体" w:eastAsia="宋体" w:cs="宋体"/>
                <w:sz w:val="18"/>
                <w:szCs w:val="18"/>
              </w:rPr>
              <w:t>ir@qdfood.com</w:t>
            </w:r>
          </w:p>
        </w:tc>
      </w:tr>
    </w:tbl>
    <w:p w14:paraId="5DF6D2B0">
      <w:pPr>
        <w:pStyle w:val="3"/>
        <w:keepNext/>
        <w:keepLines/>
        <w:pageBreakBefore w:val="0"/>
        <w:widowControl w:val="0"/>
        <w:kinsoku/>
        <w:wordWrap/>
        <w:overflowPunct/>
        <w:topLinePunct w:val="0"/>
        <w:autoSpaceDE/>
        <w:autoSpaceDN/>
        <w:bidi w:val="0"/>
        <w:adjustRightInd/>
        <w:snapToGrid/>
        <w:spacing w:before="100" w:after="200" w:line="280" w:lineRule="exact"/>
        <w:jc w:val="left"/>
        <w:textAlignment w:val="auto"/>
        <w:outlineLvl w:val="2"/>
        <w:rPr>
          <w:rFonts w:ascii="宋体" w:hAnsi="宋体" w:eastAsia="宋体" w:cs="宋体"/>
          <w:b/>
          <w:bCs/>
          <w:sz w:val="21"/>
          <w:szCs w:val="21"/>
        </w:rPr>
      </w:pPr>
      <w:bookmarkStart w:id="3" w:name="_Toc988892"/>
      <w:r>
        <w:rPr>
          <w:rFonts w:ascii="宋体" w:hAnsi="宋体" w:eastAsia="宋体" w:cs="宋体"/>
          <w:b/>
          <w:bCs/>
          <w:sz w:val="21"/>
          <w:szCs w:val="21"/>
        </w:rPr>
        <w:t>2、报告期主要业务或产品简介</w:t>
      </w:r>
      <w:bookmarkEnd w:id="3"/>
    </w:p>
    <w:p w14:paraId="070C9FF4">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公司主要从事饼干与花生酱等休闲食品的研发、生产及销售。公司主要产品包括“青食”品牌钙奶饼干、“青食”品牌休闲饼干和“海友”品牌花生酱，同时亦通过OEM模式代工生产少量花生酱产品。公司自设立以来专注于从事饼干与花生酱等休闲食品的研发、生产及销售，是国内区域性饼干龙头企业，产品在山东地区具有较高的品牌知名度和美誉度。公司是中国焙烤食品糖制品工业协会认定的“中国焙烤食品糖制品行业（饼干）十强企业”，也是中国国家标准化管理委员会与中华人民共和国国家质量监督检验检疫总局联合发布的国家标准——《饼干》（GB/T 20980-2007）的起草单位之一，在国内饼干行业中具有重要地位。</w:t>
      </w:r>
    </w:p>
    <w:p w14:paraId="473CAB6A">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ascii="宋体" w:hAnsi="宋体" w:eastAsia="宋体" w:cs="宋体"/>
          <w:sz w:val="18"/>
          <w:szCs w:val="18"/>
        </w:rPr>
      </w:pPr>
      <w:r>
        <w:rPr>
          <w:rFonts w:hint="eastAsia" w:ascii="宋体" w:hAnsi="宋体" w:eastAsia="宋体" w:cs="宋体"/>
          <w:sz w:val="18"/>
          <w:szCs w:val="18"/>
        </w:rPr>
        <w:t>休闲食品行业近年来呈现稳健增长态势，渠道影响力显著增强，行业竞争日趋激烈。市场规模稳健扩容，我国烘焙食品零售市场规模2024年约6110.7亿元（艾媒咨询），预计2029年达8595.6亿元，复合年均增长率CAGR7.0%；对标日本，人均消费量8kg/年仍有提升空间。渠道变革加速，线上占比超42%（欧睿国际），零食折扣店（2019-2024年CAGR38%）、直播电商（贡献线上销量30%）等新兴业态崛起，与传统商超深度融合，满足多元化场景需求。行业竞争格局分散，CR5（前五大企业市场份额总和）仅14.2%（中国焙烤食品糖制品工业协会），中小品牌主导区域市场，但头部企业通过产品健康化（如减糖、益生菌）、场景化创新（如办公、健身小份装）及供应链效率提升强化竞争力，马太效应初显。政策层面，《食品安全法》实施及合规成本提升加速中小产能出清，同时“健康中国”战略与内需扩大政策推动行业向品牌化、智能化转型。未来，万亿级市场将聚焦功能化升级、全链路数字化重构与可持续发展，清洁标签、低碳生产成为新共识，创新驱动行业集中度进一步提升。</w:t>
      </w:r>
    </w:p>
    <w:p w14:paraId="4CEE2DB2">
      <w:pPr>
        <w:pStyle w:val="3"/>
        <w:keepNext/>
        <w:keepLines/>
        <w:pageBreakBefore w:val="0"/>
        <w:widowControl w:val="0"/>
        <w:kinsoku/>
        <w:wordWrap/>
        <w:overflowPunct/>
        <w:topLinePunct w:val="0"/>
        <w:autoSpaceDE/>
        <w:autoSpaceDN/>
        <w:bidi w:val="0"/>
        <w:adjustRightInd/>
        <w:snapToGrid/>
        <w:spacing w:before="100" w:after="200" w:line="280" w:lineRule="exact"/>
        <w:jc w:val="left"/>
        <w:textAlignment w:val="auto"/>
        <w:outlineLvl w:val="2"/>
        <w:rPr>
          <w:rFonts w:ascii="宋体" w:hAnsi="宋体" w:eastAsia="宋体" w:cs="宋体"/>
          <w:b/>
          <w:bCs/>
          <w:sz w:val="21"/>
          <w:szCs w:val="21"/>
        </w:rPr>
      </w:pPr>
      <w:bookmarkStart w:id="4" w:name="_Toc988893"/>
      <w:r>
        <w:rPr>
          <w:rFonts w:ascii="宋体" w:hAnsi="宋体" w:eastAsia="宋体" w:cs="宋体"/>
          <w:b/>
          <w:bCs/>
          <w:sz w:val="21"/>
          <w:szCs w:val="21"/>
        </w:rPr>
        <w:t>3、主要会计数据和财务指标</w:t>
      </w:r>
      <w:bookmarkEnd w:id="4"/>
    </w:p>
    <w:p w14:paraId="68017A02">
      <w:pPr>
        <w:keepNext/>
        <w:keepLines/>
        <w:pageBreakBefore w:val="0"/>
        <w:widowControl w:val="0"/>
        <w:kinsoku/>
        <w:wordWrap/>
        <w:overflowPunct/>
        <w:topLinePunct w:val="0"/>
        <w:autoSpaceDE/>
        <w:autoSpaceDN/>
        <w:bidi w:val="0"/>
        <w:adjustRightInd/>
        <w:snapToGrid/>
        <w:spacing w:before="100" w:after="200" w:line="280" w:lineRule="exact"/>
        <w:jc w:val="left"/>
        <w:textAlignment w:val="auto"/>
        <w:outlineLvl w:val="3"/>
        <w:rPr>
          <w:rFonts w:ascii="宋体" w:hAnsi="宋体" w:eastAsia="宋体" w:cs="宋体"/>
          <w:b/>
          <w:bCs/>
          <w:sz w:val="18"/>
          <w:szCs w:val="18"/>
        </w:rPr>
      </w:pPr>
      <w:bookmarkStart w:id="5" w:name="_Toc988894"/>
      <w:r>
        <w:rPr>
          <w:rFonts w:ascii="宋体" w:hAnsi="宋体" w:eastAsia="宋体" w:cs="宋体"/>
          <w:b/>
          <w:bCs/>
          <w:sz w:val="18"/>
          <w:szCs w:val="18"/>
        </w:rPr>
        <w:t>（1）近三年主要会计数据和财务指标</w:t>
      </w:r>
      <w:bookmarkEnd w:id="5"/>
    </w:p>
    <w:p w14:paraId="55A07134">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73CDE2F6">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49481AB5">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27"/>
        <w:gridCol w:w="1661"/>
        <w:gridCol w:w="1703"/>
        <w:gridCol w:w="1906"/>
        <w:gridCol w:w="1742"/>
      </w:tblGrid>
      <w:tr w14:paraId="07F70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6" w:type="pct"/>
            <w:tcBorders>
              <w:top w:val="single" w:color="auto" w:sz="2" w:space="0"/>
              <w:left w:val="single" w:color="auto" w:sz="2" w:space="0"/>
              <w:bottom w:val="single" w:color="auto" w:sz="2" w:space="0"/>
              <w:right w:val="single" w:color="auto" w:sz="2" w:space="0"/>
            </w:tcBorders>
            <w:shd w:val="clear" w:color="auto" w:fill="D3D3D3"/>
            <w:vAlign w:val="center"/>
          </w:tcPr>
          <w:p w14:paraId="36719828"/>
        </w:tc>
        <w:tc>
          <w:tcPr>
            <w:tcW w:w="844" w:type="pct"/>
            <w:tcBorders>
              <w:top w:val="single" w:color="auto" w:sz="2" w:space="0"/>
              <w:left w:val="single" w:color="auto" w:sz="2" w:space="0"/>
              <w:bottom w:val="single" w:color="auto" w:sz="2" w:space="0"/>
              <w:right w:val="single" w:color="auto" w:sz="2" w:space="0"/>
            </w:tcBorders>
            <w:shd w:val="clear" w:color="auto" w:fill="D3D3D3"/>
            <w:vAlign w:val="center"/>
          </w:tcPr>
          <w:p w14:paraId="12A9C729">
            <w:pPr>
              <w:spacing w:before="40" w:after="40" w:line="240" w:lineRule="exact"/>
              <w:jc w:val="center"/>
              <w:rPr>
                <w:rFonts w:ascii="宋体" w:hAnsi="宋体" w:eastAsia="宋体" w:cs="宋体"/>
                <w:sz w:val="18"/>
                <w:szCs w:val="18"/>
              </w:rPr>
            </w:pPr>
            <w:r>
              <w:rPr>
                <w:rFonts w:ascii="宋体" w:hAnsi="宋体" w:eastAsia="宋体" w:cs="宋体"/>
                <w:sz w:val="18"/>
                <w:szCs w:val="18"/>
              </w:rPr>
              <w:t>2025年末</w:t>
            </w:r>
          </w:p>
        </w:tc>
        <w:tc>
          <w:tcPr>
            <w:tcW w:w="865" w:type="pct"/>
            <w:tcBorders>
              <w:top w:val="single" w:color="auto" w:sz="2" w:space="0"/>
              <w:left w:val="single" w:color="auto" w:sz="2" w:space="0"/>
              <w:bottom w:val="single" w:color="auto" w:sz="2" w:space="0"/>
              <w:right w:val="single" w:color="auto" w:sz="2" w:space="0"/>
            </w:tcBorders>
            <w:shd w:val="clear" w:color="auto" w:fill="D3D3D3"/>
            <w:vAlign w:val="center"/>
          </w:tcPr>
          <w:p w14:paraId="0BFDAE26">
            <w:pPr>
              <w:spacing w:before="40" w:after="40" w:line="240" w:lineRule="exact"/>
              <w:jc w:val="center"/>
              <w:rPr>
                <w:rFonts w:ascii="宋体" w:hAnsi="宋体" w:eastAsia="宋体" w:cs="宋体"/>
                <w:sz w:val="18"/>
                <w:szCs w:val="18"/>
              </w:rPr>
            </w:pPr>
            <w:r>
              <w:rPr>
                <w:rFonts w:ascii="宋体" w:hAnsi="宋体" w:eastAsia="宋体" w:cs="宋体"/>
                <w:sz w:val="18"/>
                <w:szCs w:val="18"/>
              </w:rPr>
              <w:t>2024年末</w:t>
            </w:r>
          </w:p>
        </w:tc>
        <w:tc>
          <w:tcPr>
            <w:tcW w:w="968" w:type="pct"/>
            <w:tcBorders>
              <w:top w:val="single" w:color="auto" w:sz="2" w:space="0"/>
              <w:left w:val="single" w:color="auto" w:sz="2" w:space="0"/>
              <w:bottom w:val="single" w:color="auto" w:sz="2" w:space="0"/>
              <w:right w:val="single" w:color="auto" w:sz="2" w:space="0"/>
            </w:tcBorders>
            <w:shd w:val="clear" w:color="auto" w:fill="D3D3D3"/>
            <w:vAlign w:val="center"/>
          </w:tcPr>
          <w:p w14:paraId="6E0EFD09">
            <w:pPr>
              <w:spacing w:before="40" w:after="40" w:line="240" w:lineRule="exact"/>
              <w:jc w:val="center"/>
              <w:rPr>
                <w:rFonts w:ascii="宋体" w:hAnsi="宋体" w:eastAsia="宋体" w:cs="宋体"/>
                <w:sz w:val="18"/>
                <w:szCs w:val="18"/>
              </w:rPr>
            </w:pPr>
            <w:r>
              <w:rPr>
                <w:rFonts w:ascii="宋体" w:hAnsi="宋体" w:eastAsia="宋体" w:cs="宋体"/>
                <w:sz w:val="18"/>
                <w:szCs w:val="18"/>
              </w:rPr>
              <w:t>本年末比上年末增减</w:t>
            </w:r>
          </w:p>
        </w:tc>
        <w:tc>
          <w:tcPr>
            <w:tcW w:w="885" w:type="pct"/>
            <w:tcBorders>
              <w:top w:val="single" w:color="auto" w:sz="2" w:space="0"/>
              <w:left w:val="single" w:color="auto" w:sz="2" w:space="0"/>
              <w:bottom w:val="single" w:color="auto" w:sz="2" w:space="0"/>
              <w:right w:val="single" w:color="auto" w:sz="2" w:space="0"/>
            </w:tcBorders>
            <w:shd w:val="clear" w:color="auto" w:fill="D3D3D3"/>
            <w:vAlign w:val="center"/>
          </w:tcPr>
          <w:p w14:paraId="39DF1505">
            <w:pPr>
              <w:spacing w:before="40" w:after="40" w:line="240" w:lineRule="exact"/>
              <w:jc w:val="center"/>
              <w:rPr>
                <w:rFonts w:ascii="宋体" w:hAnsi="宋体" w:eastAsia="宋体" w:cs="宋体"/>
                <w:sz w:val="18"/>
                <w:szCs w:val="18"/>
              </w:rPr>
            </w:pPr>
            <w:r>
              <w:rPr>
                <w:rFonts w:ascii="宋体" w:hAnsi="宋体" w:eastAsia="宋体" w:cs="宋体"/>
                <w:sz w:val="18"/>
                <w:szCs w:val="18"/>
              </w:rPr>
              <w:t>2023年末</w:t>
            </w:r>
          </w:p>
        </w:tc>
      </w:tr>
      <w:tr w14:paraId="0958F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6" w:type="pct"/>
            <w:tcBorders>
              <w:top w:val="single" w:color="auto" w:sz="2" w:space="0"/>
              <w:left w:val="single" w:color="auto" w:sz="2" w:space="0"/>
              <w:bottom w:val="single" w:color="auto" w:sz="2" w:space="0"/>
              <w:right w:val="single" w:color="auto" w:sz="2" w:space="0"/>
            </w:tcBorders>
            <w:shd w:val="clear" w:color="auto" w:fill="D3D3D3"/>
            <w:vAlign w:val="center"/>
          </w:tcPr>
          <w:p w14:paraId="1E5817F3">
            <w:pPr>
              <w:spacing w:before="40" w:after="40" w:line="240" w:lineRule="exact"/>
              <w:jc w:val="left"/>
              <w:rPr>
                <w:rFonts w:ascii="宋体" w:hAnsi="宋体" w:eastAsia="宋体" w:cs="宋体"/>
                <w:sz w:val="18"/>
                <w:szCs w:val="18"/>
              </w:rPr>
            </w:pPr>
            <w:r>
              <w:rPr>
                <w:rFonts w:ascii="宋体" w:hAnsi="宋体" w:eastAsia="宋体" w:cs="宋体"/>
                <w:sz w:val="18"/>
                <w:szCs w:val="18"/>
              </w:rPr>
              <w:t>总资产</w:t>
            </w:r>
          </w:p>
        </w:tc>
        <w:tc>
          <w:tcPr>
            <w:tcW w:w="844" w:type="pct"/>
            <w:tcBorders>
              <w:top w:val="single" w:color="auto" w:sz="2" w:space="0"/>
              <w:left w:val="single" w:color="auto" w:sz="2" w:space="0"/>
              <w:bottom w:val="single" w:color="auto" w:sz="2" w:space="0"/>
              <w:right w:val="single" w:color="auto" w:sz="2" w:space="0"/>
            </w:tcBorders>
            <w:vAlign w:val="center"/>
          </w:tcPr>
          <w:p w14:paraId="36FA2673">
            <w:pPr>
              <w:spacing w:before="0" w:after="0" w:line="240" w:lineRule="exact"/>
              <w:jc w:val="right"/>
              <w:rPr>
                <w:rFonts w:ascii="宋体" w:hAnsi="宋体" w:eastAsia="宋体" w:cs="宋体"/>
                <w:sz w:val="18"/>
                <w:szCs w:val="18"/>
              </w:rPr>
            </w:pPr>
            <w:r>
              <w:rPr>
                <w:rFonts w:ascii="宋体" w:hAnsi="宋体" w:eastAsia="宋体" w:cs="宋体"/>
                <w:sz w:val="18"/>
                <w:szCs w:val="18"/>
              </w:rPr>
              <w:t>1,328,566,317.43</w:t>
            </w:r>
          </w:p>
        </w:tc>
        <w:tc>
          <w:tcPr>
            <w:tcW w:w="865" w:type="pct"/>
            <w:tcBorders>
              <w:top w:val="single" w:color="auto" w:sz="2" w:space="0"/>
              <w:left w:val="single" w:color="auto" w:sz="2" w:space="0"/>
              <w:bottom w:val="single" w:color="auto" w:sz="2" w:space="0"/>
              <w:right w:val="single" w:color="auto" w:sz="2" w:space="0"/>
            </w:tcBorders>
            <w:vAlign w:val="center"/>
          </w:tcPr>
          <w:p w14:paraId="5983913F">
            <w:pPr>
              <w:spacing w:before="0" w:after="0" w:line="240" w:lineRule="exact"/>
              <w:jc w:val="right"/>
              <w:rPr>
                <w:rFonts w:ascii="宋体" w:hAnsi="宋体" w:eastAsia="宋体" w:cs="宋体"/>
                <w:sz w:val="18"/>
                <w:szCs w:val="18"/>
              </w:rPr>
            </w:pPr>
            <w:r>
              <w:rPr>
                <w:rFonts w:ascii="宋体" w:hAnsi="宋体" w:eastAsia="宋体" w:cs="宋体"/>
                <w:sz w:val="18"/>
                <w:szCs w:val="18"/>
              </w:rPr>
              <w:t>1,153,157,818.30</w:t>
            </w:r>
          </w:p>
        </w:tc>
        <w:tc>
          <w:tcPr>
            <w:tcW w:w="968" w:type="pct"/>
            <w:tcBorders>
              <w:top w:val="single" w:color="auto" w:sz="2" w:space="0"/>
              <w:left w:val="single" w:color="auto" w:sz="2" w:space="0"/>
              <w:bottom w:val="single" w:color="auto" w:sz="2" w:space="0"/>
              <w:right w:val="single" w:color="auto" w:sz="2" w:space="0"/>
            </w:tcBorders>
            <w:vAlign w:val="center"/>
          </w:tcPr>
          <w:p w14:paraId="5CCB06FB">
            <w:pPr>
              <w:spacing w:before="0" w:after="0" w:line="240" w:lineRule="exact"/>
              <w:jc w:val="right"/>
              <w:rPr>
                <w:rFonts w:ascii="宋体" w:hAnsi="宋体" w:eastAsia="宋体" w:cs="宋体"/>
                <w:sz w:val="18"/>
                <w:szCs w:val="18"/>
              </w:rPr>
            </w:pPr>
            <w:r>
              <w:rPr>
                <w:rFonts w:ascii="宋体" w:hAnsi="宋体" w:eastAsia="宋体" w:cs="宋体"/>
                <w:sz w:val="18"/>
                <w:szCs w:val="18"/>
              </w:rPr>
              <w:t>15.21%</w:t>
            </w:r>
          </w:p>
        </w:tc>
        <w:tc>
          <w:tcPr>
            <w:tcW w:w="885" w:type="pct"/>
            <w:tcBorders>
              <w:top w:val="single" w:color="auto" w:sz="2" w:space="0"/>
              <w:left w:val="single" w:color="auto" w:sz="2" w:space="0"/>
              <w:bottom w:val="single" w:color="auto" w:sz="2" w:space="0"/>
              <w:right w:val="single" w:color="auto" w:sz="2" w:space="0"/>
            </w:tcBorders>
            <w:vAlign w:val="center"/>
          </w:tcPr>
          <w:p w14:paraId="4421826F">
            <w:pPr>
              <w:spacing w:before="0" w:after="0" w:line="240" w:lineRule="exact"/>
              <w:jc w:val="right"/>
              <w:rPr>
                <w:rFonts w:ascii="宋体" w:hAnsi="宋体" w:eastAsia="宋体" w:cs="宋体"/>
                <w:sz w:val="18"/>
                <w:szCs w:val="18"/>
              </w:rPr>
            </w:pPr>
            <w:r>
              <w:rPr>
                <w:rFonts w:ascii="宋体" w:hAnsi="宋体" w:eastAsia="宋体" w:cs="宋体"/>
                <w:sz w:val="18"/>
                <w:szCs w:val="18"/>
              </w:rPr>
              <w:t>1,074,440,453.60</w:t>
            </w:r>
          </w:p>
        </w:tc>
      </w:tr>
      <w:tr w14:paraId="40626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6" w:type="pct"/>
            <w:tcBorders>
              <w:top w:val="single" w:color="auto" w:sz="2" w:space="0"/>
              <w:left w:val="single" w:color="auto" w:sz="2" w:space="0"/>
              <w:bottom w:val="single" w:color="auto" w:sz="2" w:space="0"/>
              <w:right w:val="single" w:color="auto" w:sz="2" w:space="0"/>
            </w:tcBorders>
            <w:shd w:val="clear" w:color="auto" w:fill="D3D3D3"/>
            <w:vAlign w:val="center"/>
          </w:tcPr>
          <w:p w14:paraId="75099022">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w:t>
            </w:r>
          </w:p>
        </w:tc>
        <w:tc>
          <w:tcPr>
            <w:tcW w:w="844" w:type="pct"/>
            <w:tcBorders>
              <w:top w:val="single" w:color="auto" w:sz="2" w:space="0"/>
              <w:left w:val="single" w:color="auto" w:sz="2" w:space="0"/>
              <w:bottom w:val="single" w:color="auto" w:sz="2" w:space="0"/>
              <w:right w:val="single" w:color="auto" w:sz="2" w:space="0"/>
            </w:tcBorders>
            <w:vAlign w:val="center"/>
          </w:tcPr>
          <w:p w14:paraId="69621AC6">
            <w:pPr>
              <w:spacing w:before="0" w:after="0" w:line="240" w:lineRule="exact"/>
              <w:jc w:val="right"/>
              <w:rPr>
                <w:rFonts w:ascii="宋体" w:hAnsi="宋体" w:eastAsia="宋体" w:cs="宋体"/>
                <w:sz w:val="18"/>
                <w:szCs w:val="18"/>
              </w:rPr>
            </w:pPr>
            <w:r>
              <w:rPr>
                <w:rFonts w:ascii="宋体" w:hAnsi="宋体" w:eastAsia="宋体" w:cs="宋体"/>
                <w:sz w:val="18"/>
                <w:szCs w:val="18"/>
              </w:rPr>
              <w:t>1,060,419,407.90</w:t>
            </w:r>
          </w:p>
        </w:tc>
        <w:tc>
          <w:tcPr>
            <w:tcW w:w="865" w:type="pct"/>
            <w:tcBorders>
              <w:top w:val="single" w:color="auto" w:sz="2" w:space="0"/>
              <w:left w:val="single" w:color="auto" w:sz="2" w:space="0"/>
              <w:bottom w:val="single" w:color="auto" w:sz="2" w:space="0"/>
              <w:right w:val="single" w:color="auto" w:sz="2" w:space="0"/>
            </w:tcBorders>
            <w:vAlign w:val="center"/>
          </w:tcPr>
          <w:p w14:paraId="5A21895E">
            <w:pPr>
              <w:spacing w:before="0" w:after="0" w:line="240" w:lineRule="exact"/>
              <w:jc w:val="right"/>
              <w:rPr>
                <w:rFonts w:ascii="宋体" w:hAnsi="宋体" w:eastAsia="宋体" w:cs="宋体"/>
                <w:sz w:val="18"/>
                <w:szCs w:val="18"/>
              </w:rPr>
            </w:pPr>
            <w:r>
              <w:rPr>
                <w:rFonts w:ascii="宋体" w:hAnsi="宋体" w:eastAsia="宋体" w:cs="宋体"/>
                <w:sz w:val="18"/>
                <w:szCs w:val="18"/>
              </w:rPr>
              <w:t>1,027,310,209.84</w:t>
            </w:r>
          </w:p>
        </w:tc>
        <w:tc>
          <w:tcPr>
            <w:tcW w:w="968" w:type="pct"/>
            <w:tcBorders>
              <w:top w:val="single" w:color="auto" w:sz="2" w:space="0"/>
              <w:left w:val="single" w:color="auto" w:sz="2" w:space="0"/>
              <w:bottom w:val="single" w:color="auto" w:sz="2" w:space="0"/>
              <w:right w:val="single" w:color="auto" w:sz="2" w:space="0"/>
            </w:tcBorders>
            <w:vAlign w:val="center"/>
          </w:tcPr>
          <w:p w14:paraId="70E4D480">
            <w:pPr>
              <w:spacing w:before="0" w:after="0" w:line="240" w:lineRule="exact"/>
              <w:jc w:val="right"/>
              <w:rPr>
                <w:rFonts w:ascii="宋体" w:hAnsi="宋体" w:eastAsia="宋体" w:cs="宋体"/>
                <w:sz w:val="18"/>
                <w:szCs w:val="18"/>
              </w:rPr>
            </w:pPr>
            <w:r>
              <w:rPr>
                <w:rFonts w:ascii="宋体" w:hAnsi="宋体" w:eastAsia="宋体" w:cs="宋体"/>
                <w:sz w:val="18"/>
                <w:szCs w:val="18"/>
              </w:rPr>
              <w:t>3.22%</w:t>
            </w:r>
          </w:p>
        </w:tc>
        <w:tc>
          <w:tcPr>
            <w:tcW w:w="885" w:type="pct"/>
            <w:tcBorders>
              <w:top w:val="single" w:color="auto" w:sz="2" w:space="0"/>
              <w:left w:val="single" w:color="auto" w:sz="2" w:space="0"/>
              <w:bottom w:val="single" w:color="auto" w:sz="2" w:space="0"/>
              <w:right w:val="single" w:color="auto" w:sz="2" w:space="0"/>
            </w:tcBorders>
            <w:vAlign w:val="center"/>
          </w:tcPr>
          <w:p w14:paraId="50FA19EA">
            <w:pPr>
              <w:spacing w:before="0" w:after="0" w:line="240" w:lineRule="exact"/>
              <w:jc w:val="right"/>
              <w:rPr>
                <w:rFonts w:ascii="宋体" w:hAnsi="宋体" w:eastAsia="宋体" w:cs="宋体"/>
                <w:sz w:val="18"/>
                <w:szCs w:val="18"/>
              </w:rPr>
            </w:pPr>
            <w:r>
              <w:rPr>
                <w:rFonts w:ascii="宋体" w:hAnsi="宋体" w:eastAsia="宋体" w:cs="宋体"/>
                <w:sz w:val="18"/>
                <w:szCs w:val="18"/>
              </w:rPr>
              <w:t>974,634,181.91</w:t>
            </w:r>
          </w:p>
        </w:tc>
      </w:tr>
      <w:tr w14:paraId="14F13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6" w:type="pct"/>
            <w:tcBorders>
              <w:top w:val="single" w:color="auto" w:sz="2" w:space="0"/>
              <w:left w:val="single" w:color="auto" w:sz="2" w:space="0"/>
              <w:bottom w:val="single" w:color="auto" w:sz="2" w:space="0"/>
              <w:right w:val="single" w:color="auto" w:sz="2" w:space="0"/>
            </w:tcBorders>
            <w:shd w:val="clear" w:color="auto" w:fill="D3D3D3"/>
            <w:vAlign w:val="center"/>
          </w:tcPr>
          <w:p w14:paraId="59B082EF"/>
        </w:tc>
        <w:tc>
          <w:tcPr>
            <w:tcW w:w="844" w:type="pct"/>
            <w:tcBorders>
              <w:top w:val="single" w:color="auto" w:sz="2" w:space="0"/>
              <w:left w:val="single" w:color="auto" w:sz="2" w:space="0"/>
              <w:bottom w:val="single" w:color="auto" w:sz="2" w:space="0"/>
              <w:right w:val="single" w:color="auto" w:sz="2" w:space="0"/>
            </w:tcBorders>
            <w:shd w:val="clear" w:color="auto" w:fill="D3D3D3"/>
            <w:vAlign w:val="center"/>
          </w:tcPr>
          <w:p w14:paraId="48C117DF">
            <w:pPr>
              <w:spacing w:before="40" w:after="40" w:line="240" w:lineRule="exact"/>
              <w:jc w:val="center"/>
              <w:rPr>
                <w:rFonts w:ascii="宋体" w:hAnsi="宋体" w:eastAsia="宋体" w:cs="宋体"/>
                <w:sz w:val="18"/>
                <w:szCs w:val="18"/>
              </w:rPr>
            </w:pPr>
            <w:r>
              <w:rPr>
                <w:rFonts w:ascii="宋体" w:hAnsi="宋体" w:eastAsia="宋体" w:cs="宋体"/>
                <w:sz w:val="18"/>
                <w:szCs w:val="18"/>
              </w:rPr>
              <w:t>2025年</w:t>
            </w:r>
          </w:p>
        </w:tc>
        <w:tc>
          <w:tcPr>
            <w:tcW w:w="865" w:type="pct"/>
            <w:tcBorders>
              <w:top w:val="single" w:color="auto" w:sz="2" w:space="0"/>
              <w:left w:val="single" w:color="auto" w:sz="2" w:space="0"/>
              <w:bottom w:val="single" w:color="auto" w:sz="2" w:space="0"/>
              <w:right w:val="single" w:color="auto" w:sz="2" w:space="0"/>
            </w:tcBorders>
            <w:shd w:val="clear" w:color="auto" w:fill="D3D3D3"/>
            <w:vAlign w:val="center"/>
          </w:tcPr>
          <w:p w14:paraId="708465FE">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968" w:type="pct"/>
            <w:tcBorders>
              <w:top w:val="single" w:color="auto" w:sz="2" w:space="0"/>
              <w:left w:val="single" w:color="auto" w:sz="2" w:space="0"/>
              <w:bottom w:val="single" w:color="auto" w:sz="2" w:space="0"/>
              <w:right w:val="single" w:color="auto" w:sz="2" w:space="0"/>
            </w:tcBorders>
            <w:shd w:val="clear" w:color="auto" w:fill="D3D3D3"/>
            <w:vAlign w:val="center"/>
          </w:tcPr>
          <w:p w14:paraId="31130188">
            <w:pPr>
              <w:spacing w:before="40" w:after="40" w:line="240" w:lineRule="exact"/>
              <w:jc w:val="center"/>
              <w:rPr>
                <w:rFonts w:ascii="宋体" w:hAnsi="宋体" w:eastAsia="宋体" w:cs="宋体"/>
                <w:sz w:val="18"/>
                <w:szCs w:val="18"/>
              </w:rPr>
            </w:pPr>
            <w:r>
              <w:rPr>
                <w:rFonts w:ascii="宋体" w:hAnsi="宋体" w:eastAsia="宋体" w:cs="宋体"/>
                <w:sz w:val="18"/>
                <w:szCs w:val="18"/>
              </w:rPr>
              <w:t>本年比上年增减</w:t>
            </w:r>
          </w:p>
        </w:tc>
        <w:tc>
          <w:tcPr>
            <w:tcW w:w="885" w:type="pct"/>
            <w:tcBorders>
              <w:top w:val="single" w:color="auto" w:sz="2" w:space="0"/>
              <w:left w:val="single" w:color="auto" w:sz="2" w:space="0"/>
              <w:bottom w:val="single" w:color="auto" w:sz="2" w:space="0"/>
              <w:right w:val="single" w:color="auto" w:sz="2" w:space="0"/>
            </w:tcBorders>
            <w:shd w:val="clear" w:color="auto" w:fill="D3D3D3"/>
            <w:vAlign w:val="center"/>
          </w:tcPr>
          <w:p w14:paraId="0C4D661E">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r>
      <w:tr w14:paraId="5A481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6" w:type="pct"/>
            <w:tcBorders>
              <w:top w:val="single" w:color="auto" w:sz="2" w:space="0"/>
              <w:left w:val="single" w:color="auto" w:sz="2" w:space="0"/>
              <w:bottom w:val="single" w:color="auto" w:sz="2" w:space="0"/>
              <w:right w:val="single" w:color="auto" w:sz="2" w:space="0"/>
            </w:tcBorders>
            <w:shd w:val="clear" w:color="auto" w:fill="D3D3D3"/>
            <w:vAlign w:val="center"/>
          </w:tcPr>
          <w:p w14:paraId="103ADB52">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844" w:type="pct"/>
            <w:tcBorders>
              <w:top w:val="single" w:color="auto" w:sz="2" w:space="0"/>
              <w:left w:val="single" w:color="auto" w:sz="2" w:space="0"/>
              <w:bottom w:val="single" w:color="auto" w:sz="2" w:space="0"/>
              <w:right w:val="single" w:color="auto" w:sz="2" w:space="0"/>
            </w:tcBorders>
            <w:vAlign w:val="center"/>
          </w:tcPr>
          <w:p w14:paraId="79489F8B">
            <w:pPr>
              <w:spacing w:before="0" w:after="0" w:line="240" w:lineRule="exact"/>
              <w:jc w:val="right"/>
              <w:rPr>
                <w:rFonts w:ascii="宋体" w:hAnsi="宋体" w:eastAsia="宋体" w:cs="宋体"/>
                <w:sz w:val="18"/>
                <w:szCs w:val="18"/>
              </w:rPr>
            </w:pPr>
            <w:r>
              <w:rPr>
                <w:rFonts w:ascii="宋体" w:hAnsi="宋体" w:eastAsia="宋体" w:cs="宋体"/>
                <w:sz w:val="18"/>
                <w:szCs w:val="18"/>
              </w:rPr>
              <w:t>545,143,326.86</w:t>
            </w:r>
          </w:p>
        </w:tc>
        <w:tc>
          <w:tcPr>
            <w:tcW w:w="865" w:type="pct"/>
            <w:tcBorders>
              <w:top w:val="single" w:color="auto" w:sz="2" w:space="0"/>
              <w:left w:val="single" w:color="auto" w:sz="2" w:space="0"/>
              <w:bottom w:val="single" w:color="auto" w:sz="2" w:space="0"/>
              <w:right w:val="single" w:color="auto" w:sz="2" w:space="0"/>
            </w:tcBorders>
            <w:vAlign w:val="center"/>
          </w:tcPr>
          <w:p w14:paraId="03D0958F">
            <w:pPr>
              <w:spacing w:before="0" w:after="0" w:line="240" w:lineRule="exact"/>
              <w:jc w:val="right"/>
              <w:rPr>
                <w:rFonts w:ascii="宋体" w:hAnsi="宋体" w:eastAsia="宋体" w:cs="宋体"/>
                <w:sz w:val="18"/>
                <w:szCs w:val="18"/>
              </w:rPr>
            </w:pPr>
            <w:r>
              <w:rPr>
                <w:rFonts w:ascii="宋体" w:hAnsi="宋体" w:eastAsia="宋体" w:cs="宋体"/>
                <w:sz w:val="18"/>
                <w:szCs w:val="18"/>
              </w:rPr>
              <w:t>525,860,467.86</w:t>
            </w:r>
          </w:p>
        </w:tc>
        <w:tc>
          <w:tcPr>
            <w:tcW w:w="968" w:type="pct"/>
            <w:tcBorders>
              <w:top w:val="single" w:color="auto" w:sz="2" w:space="0"/>
              <w:left w:val="single" w:color="auto" w:sz="2" w:space="0"/>
              <w:bottom w:val="single" w:color="auto" w:sz="2" w:space="0"/>
              <w:right w:val="single" w:color="auto" w:sz="2" w:space="0"/>
            </w:tcBorders>
            <w:vAlign w:val="center"/>
          </w:tcPr>
          <w:p w14:paraId="29A7810C">
            <w:pPr>
              <w:spacing w:before="0" w:after="0" w:line="240" w:lineRule="exact"/>
              <w:jc w:val="right"/>
              <w:rPr>
                <w:rFonts w:ascii="宋体" w:hAnsi="宋体" w:eastAsia="宋体" w:cs="宋体"/>
                <w:sz w:val="18"/>
                <w:szCs w:val="18"/>
              </w:rPr>
            </w:pPr>
            <w:r>
              <w:rPr>
                <w:rFonts w:ascii="宋体" w:hAnsi="宋体" w:eastAsia="宋体" w:cs="宋体"/>
                <w:sz w:val="18"/>
                <w:szCs w:val="18"/>
              </w:rPr>
              <w:t>3.67%</w:t>
            </w:r>
          </w:p>
        </w:tc>
        <w:tc>
          <w:tcPr>
            <w:tcW w:w="885" w:type="pct"/>
            <w:tcBorders>
              <w:top w:val="single" w:color="auto" w:sz="2" w:space="0"/>
              <w:left w:val="single" w:color="auto" w:sz="2" w:space="0"/>
              <w:bottom w:val="single" w:color="auto" w:sz="2" w:space="0"/>
              <w:right w:val="single" w:color="auto" w:sz="2" w:space="0"/>
            </w:tcBorders>
            <w:vAlign w:val="center"/>
          </w:tcPr>
          <w:p w14:paraId="2FF1CED9">
            <w:pPr>
              <w:spacing w:before="0" w:after="0" w:line="240" w:lineRule="exact"/>
              <w:jc w:val="right"/>
              <w:rPr>
                <w:rFonts w:ascii="宋体" w:hAnsi="宋体" w:eastAsia="宋体" w:cs="宋体"/>
                <w:sz w:val="18"/>
                <w:szCs w:val="18"/>
              </w:rPr>
            </w:pPr>
            <w:r>
              <w:rPr>
                <w:rFonts w:ascii="宋体" w:hAnsi="宋体" w:eastAsia="宋体" w:cs="宋体"/>
                <w:sz w:val="18"/>
                <w:szCs w:val="18"/>
              </w:rPr>
              <w:t>489,309,790.89</w:t>
            </w:r>
          </w:p>
        </w:tc>
      </w:tr>
      <w:tr w14:paraId="47EBF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6" w:type="pct"/>
            <w:tcBorders>
              <w:top w:val="single" w:color="auto" w:sz="2" w:space="0"/>
              <w:left w:val="single" w:color="auto" w:sz="2" w:space="0"/>
              <w:bottom w:val="single" w:color="auto" w:sz="2" w:space="0"/>
              <w:right w:val="single" w:color="auto" w:sz="2" w:space="0"/>
            </w:tcBorders>
            <w:shd w:val="clear" w:color="auto" w:fill="D3D3D3"/>
            <w:vAlign w:val="center"/>
          </w:tcPr>
          <w:p w14:paraId="0971D7DF">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w:t>
            </w:r>
          </w:p>
        </w:tc>
        <w:tc>
          <w:tcPr>
            <w:tcW w:w="844" w:type="pct"/>
            <w:tcBorders>
              <w:top w:val="single" w:color="auto" w:sz="2" w:space="0"/>
              <w:left w:val="single" w:color="auto" w:sz="2" w:space="0"/>
              <w:bottom w:val="single" w:color="auto" w:sz="2" w:space="0"/>
              <w:right w:val="single" w:color="auto" w:sz="2" w:space="0"/>
            </w:tcBorders>
            <w:vAlign w:val="center"/>
          </w:tcPr>
          <w:p w14:paraId="1F2119AE">
            <w:pPr>
              <w:spacing w:before="0" w:after="0" w:line="240" w:lineRule="exact"/>
              <w:jc w:val="right"/>
              <w:rPr>
                <w:rFonts w:ascii="宋体" w:hAnsi="宋体" w:eastAsia="宋体" w:cs="宋体"/>
                <w:sz w:val="18"/>
                <w:szCs w:val="18"/>
              </w:rPr>
            </w:pPr>
            <w:r>
              <w:rPr>
                <w:rFonts w:ascii="宋体" w:hAnsi="宋体" w:eastAsia="宋体" w:cs="宋体"/>
                <w:sz w:val="18"/>
                <w:szCs w:val="18"/>
              </w:rPr>
              <w:t>110,870,965.80</w:t>
            </w:r>
          </w:p>
        </w:tc>
        <w:tc>
          <w:tcPr>
            <w:tcW w:w="865" w:type="pct"/>
            <w:tcBorders>
              <w:top w:val="single" w:color="auto" w:sz="2" w:space="0"/>
              <w:left w:val="single" w:color="auto" w:sz="2" w:space="0"/>
              <w:bottom w:val="single" w:color="auto" w:sz="2" w:space="0"/>
              <w:right w:val="single" w:color="auto" w:sz="2" w:space="0"/>
            </w:tcBorders>
            <w:vAlign w:val="center"/>
          </w:tcPr>
          <w:p w14:paraId="4FD1793E">
            <w:pPr>
              <w:spacing w:before="0" w:after="0" w:line="240" w:lineRule="exact"/>
              <w:jc w:val="right"/>
              <w:rPr>
                <w:rFonts w:ascii="宋体" w:hAnsi="宋体" w:eastAsia="宋体" w:cs="宋体"/>
                <w:sz w:val="18"/>
                <w:szCs w:val="18"/>
              </w:rPr>
            </w:pPr>
            <w:r>
              <w:rPr>
                <w:rFonts w:ascii="宋体" w:hAnsi="宋体" w:eastAsia="宋体" w:cs="宋体"/>
                <w:sz w:val="18"/>
                <w:szCs w:val="18"/>
              </w:rPr>
              <w:t>97,476,965.08</w:t>
            </w:r>
          </w:p>
        </w:tc>
        <w:tc>
          <w:tcPr>
            <w:tcW w:w="968" w:type="pct"/>
            <w:tcBorders>
              <w:top w:val="single" w:color="auto" w:sz="2" w:space="0"/>
              <w:left w:val="single" w:color="auto" w:sz="2" w:space="0"/>
              <w:bottom w:val="single" w:color="auto" w:sz="2" w:space="0"/>
              <w:right w:val="single" w:color="auto" w:sz="2" w:space="0"/>
            </w:tcBorders>
            <w:vAlign w:val="center"/>
          </w:tcPr>
          <w:p w14:paraId="5F6CE967">
            <w:pPr>
              <w:spacing w:before="0" w:after="0" w:line="240" w:lineRule="exact"/>
              <w:jc w:val="right"/>
              <w:rPr>
                <w:rFonts w:ascii="宋体" w:hAnsi="宋体" w:eastAsia="宋体" w:cs="宋体"/>
                <w:sz w:val="18"/>
                <w:szCs w:val="18"/>
              </w:rPr>
            </w:pPr>
            <w:r>
              <w:rPr>
                <w:rFonts w:ascii="宋体" w:hAnsi="宋体" w:eastAsia="宋体" w:cs="宋体"/>
                <w:sz w:val="18"/>
                <w:szCs w:val="18"/>
              </w:rPr>
              <w:t>13.74%</w:t>
            </w:r>
          </w:p>
        </w:tc>
        <w:tc>
          <w:tcPr>
            <w:tcW w:w="885" w:type="pct"/>
            <w:tcBorders>
              <w:top w:val="single" w:color="auto" w:sz="2" w:space="0"/>
              <w:left w:val="single" w:color="auto" w:sz="2" w:space="0"/>
              <w:bottom w:val="single" w:color="auto" w:sz="2" w:space="0"/>
              <w:right w:val="single" w:color="auto" w:sz="2" w:space="0"/>
            </w:tcBorders>
            <w:vAlign w:val="center"/>
          </w:tcPr>
          <w:p w14:paraId="004BA746">
            <w:pPr>
              <w:spacing w:before="0" w:after="0" w:line="240" w:lineRule="exact"/>
              <w:jc w:val="right"/>
              <w:rPr>
                <w:rFonts w:ascii="宋体" w:hAnsi="宋体" w:eastAsia="宋体" w:cs="宋体"/>
                <w:sz w:val="18"/>
                <w:szCs w:val="18"/>
              </w:rPr>
            </w:pPr>
            <w:r>
              <w:rPr>
                <w:rFonts w:ascii="宋体" w:hAnsi="宋体" w:eastAsia="宋体" w:cs="宋体"/>
                <w:sz w:val="18"/>
                <w:szCs w:val="18"/>
              </w:rPr>
              <w:t>86,107,370.63</w:t>
            </w:r>
          </w:p>
        </w:tc>
      </w:tr>
      <w:tr w14:paraId="54F7A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6" w:type="pct"/>
            <w:tcBorders>
              <w:top w:val="single" w:color="auto" w:sz="2" w:space="0"/>
              <w:left w:val="single" w:color="auto" w:sz="2" w:space="0"/>
              <w:bottom w:val="single" w:color="auto" w:sz="2" w:space="0"/>
              <w:right w:val="single" w:color="auto" w:sz="2" w:space="0"/>
            </w:tcBorders>
            <w:shd w:val="clear" w:color="auto" w:fill="D3D3D3"/>
            <w:vAlign w:val="center"/>
          </w:tcPr>
          <w:p w14:paraId="237D1527">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w:t>
            </w:r>
          </w:p>
        </w:tc>
        <w:tc>
          <w:tcPr>
            <w:tcW w:w="844" w:type="pct"/>
            <w:tcBorders>
              <w:top w:val="single" w:color="auto" w:sz="2" w:space="0"/>
              <w:left w:val="single" w:color="auto" w:sz="2" w:space="0"/>
              <w:bottom w:val="single" w:color="auto" w:sz="2" w:space="0"/>
              <w:right w:val="single" w:color="auto" w:sz="2" w:space="0"/>
            </w:tcBorders>
            <w:vAlign w:val="center"/>
          </w:tcPr>
          <w:p w14:paraId="4A4907C0">
            <w:pPr>
              <w:spacing w:before="0" w:after="0" w:line="240" w:lineRule="exact"/>
              <w:jc w:val="right"/>
              <w:rPr>
                <w:rFonts w:ascii="宋体" w:hAnsi="宋体" w:eastAsia="宋体" w:cs="宋体"/>
                <w:sz w:val="18"/>
                <w:szCs w:val="18"/>
              </w:rPr>
            </w:pPr>
            <w:r>
              <w:rPr>
                <w:rFonts w:ascii="宋体" w:hAnsi="宋体" w:eastAsia="宋体" w:cs="宋体"/>
                <w:sz w:val="18"/>
                <w:szCs w:val="18"/>
              </w:rPr>
              <w:t>97,373,839.07</w:t>
            </w:r>
          </w:p>
        </w:tc>
        <w:tc>
          <w:tcPr>
            <w:tcW w:w="865" w:type="pct"/>
            <w:tcBorders>
              <w:top w:val="single" w:color="auto" w:sz="2" w:space="0"/>
              <w:left w:val="single" w:color="auto" w:sz="2" w:space="0"/>
              <w:bottom w:val="single" w:color="auto" w:sz="2" w:space="0"/>
              <w:right w:val="single" w:color="auto" w:sz="2" w:space="0"/>
            </w:tcBorders>
            <w:vAlign w:val="center"/>
          </w:tcPr>
          <w:p w14:paraId="06BF8398">
            <w:pPr>
              <w:spacing w:before="0" w:after="0" w:line="240" w:lineRule="exact"/>
              <w:jc w:val="right"/>
              <w:rPr>
                <w:rFonts w:ascii="宋体" w:hAnsi="宋体" w:eastAsia="宋体" w:cs="宋体"/>
                <w:sz w:val="18"/>
                <w:szCs w:val="18"/>
              </w:rPr>
            </w:pPr>
            <w:r>
              <w:rPr>
                <w:rFonts w:ascii="宋体" w:hAnsi="宋体" w:eastAsia="宋体" w:cs="宋体"/>
                <w:sz w:val="18"/>
                <w:szCs w:val="18"/>
              </w:rPr>
              <w:t>78,657,134.57</w:t>
            </w:r>
          </w:p>
        </w:tc>
        <w:tc>
          <w:tcPr>
            <w:tcW w:w="968" w:type="pct"/>
            <w:tcBorders>
              <w:top w:val="single" w:color="auto" w:sz="2" w:space="0"/>
              <w:left w:val="single" w:color="auto" w:sz="2" w:space="0"/>
              <w:bottom w:val="single" w:color="auto" w:sz="2" w:space="0"/>
              <w:right w:val="single" w:color="auto" w:sz="2" w:space="0"/>
            </w:tcBorders>
            <w:vAlign w:val="center"/>
          </w:tcPr>
          <w:p w14:paraId="67464A4E">
            <w:pPr>
              <w:spacing w:before="0" w:after="0" w:line="240" w:lineRule="exact"/>
              <w:jc w:val="right"/>
              <w:rPr>
                <w:rFonts w:ascii="宋体" w:hAnsi="宋体" w:eastAsia="宋体" w:cs="宋体"/>
                <w:sz w:val="18"/>
                <w:szCs w:val="18"/>
              </w:rPr>
            </w:pPr>
            <w:r>
              <w:rPr>
                <w:rFonts w:ascii="宋体" w:hAnsi="宋体" w:eastAsia="宋体" w:cs="宋体"/>
                <w:sz w:val="18"/>
                <w:szCs w:val="18"/>
              </w:rPr>
              <w:t>23.80%</w:t>
            </w:r>
          </w:p>
        </w:tc>
        <w:tc>
          <w:tcPr>
            <w:tcW w:w="885" w:type="pct"/>
            <w:tcBorders>
              <w:top w:val="single" w:color="auto" w:sz="2" w:space="0"/>
              <w:left w:val="single" w:color="auto" w:sz="2" w:space="0"/>
              <w:bottom w:val="single" w:color="auto" w:sz="2" w:space="0"/>
              <w:right w:val="single" w:color="auto" w:sz="2" w:space="0"/>
            </w:tcBorders>
            <w:vAlign w:val="center"/>
          </w:tcPr>
          <w:p w14:paraId="2D0BA606">
            <w:pPr>
              <w:spacing w:before="0" w:after="0" w:line="240" w:lineRule="exact"/>
              <w:jc w:val="right"/>
              <w:rPr>
                <w:rFonts w:ascii="宋体" w:hAnsi="宋体" w:eastAsia="宋体" w:cs="宋体"/>
                <w:sz w:val="18"/>
                <w:szCs w:val="18"/>
              </w:rPr>
            </w:pPr>
            <w:r>
              <w:rPr>
                <w:rFonts w:ascii="宋体" w:hAnsi="宋体" w:eastAsia="宋体" w:cs="宋体"/>
                <w:sz w:val="18"/>
                <w:szCs w:val="18"/>
              </w:rPr>
              <w:t>69,000,288.63</w:t>
            </w:r>
          </w:p>
        </w:tc>
      </w:tr>
      <w:tr w14:paraId="48BB5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6" w:type="pct"/>
            <w:tcBorders>
              <w:top w:val="single" w:color="auto" w:sz="2" w:space="0"/>
              <w:left w:val="single" w:color="auto" w:sz="2" w:space="0"/>
              <w:bottom w:val="single" w:color="auto" w:sz="2" w:space="0"/>
              <w:right w:val="single" w:color="auto" w:sz="2" w:space="0"/>
            </w:tcBorders>
            <w:shd w:val="clear" w:color="auto" w:fill="D3D3D3"/>
            <w:vAlign w:val="center"/>
          </w:tcPr>
          <w:p w14:paraId="1EA65A9C">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844" w:type="pct"/>
            <w:tcBorders>
              <w:top w:val="single" w:color="auto" w:sz="2" w:space="0"/>
              <w:left w:val="single" w:color="auto" w:sz="2" w:space="0"/>
              <w:bottom w:val="single" w:color="auto" w:sz="2" w:space="0"/>
              <w:right w:val="single" w:color="auto" w:sz="2" w:space="0"/>
            </w:tcBorders>
            <w:vAlign w:val="center"/>
          </w:tcPr>
          <w:p w14:paraId="25B36037">
            <w:pPr>
              <w:spacing w:before="0" w:after="0" w:line="240" w:lineRule="exact"/>
              <w:jc w:val="right"/>
              <w:rPr>
                <w:rFonts w:ascii="宋体" w:hAnsi="宋体" w:eastAsia="宋体" w:cs="宋体"/>
                <w:sz w:val="18"/>
                <w:szCs w:val="18"/>
              </w:rPr>
            </w:pPr>
            <w:r>
              <w:rPr>
                <w:rFonts w:ascii="宋体" w:hAnsi="宋体" w:eastAsia="宋体" w:cs="宋体"/>
                <w:sz w:val="18"/>
                <w:szCs w:val="18"/>
              </w:rPr>
              <w:t>104,386,584.04</w:t>
            </w:r>
          </w:p>
        </w:tc>
        <w:tc>
          <w:tcPr>
            <w:tcW w:w="865" w:type="pct"/>
            <w:tcBorders>
              <w:top w:val="single" w:color="auto" w:sz="2" w:space="0"/>
              <w:left w:val="single" w:color="auto" w:sz="2" w:space="0"/>
              <w:bottom w:val="single" w:color="auto" w:sz="2" w:space="0"/>
              <w:right w:val="single" w:color="auto" w:sz="2" w:space="0"/>
            </w:tcBorders>
            <w:vAlign w:val="center"/>
          </w:tcPr>
          <w:p w14:paraId="1892D4D8">
            <w:pPr>
              <w:spacing w:before="0" w:after="0" w:line="240" w:lineRule="exact"/>
              <w:jc w:val="right"/>
              <w:rPr>
                <w:rFonts w:ascii="宋体" w:hAnsi="宋体" w:eastAsia="宋体" w:cs="宋体"/>
                <w:sz w:val="18"/>
                <w:szCs w:val="18"/>
              </w:rPr>
            </w:pPr>
            <w:r>
              <w:rPr>
                <w:rFonts w:ascii="宋体" w:hAnsi="宋体" w:eastAsia="宋体" w:cs="宋体"/>
                <w:sz w:val="18"/>
                <w:szCs w:val="18"/>
              </w:rPr>
              <w:t>93,069,170.87</w:t>
            </w:r>
          </w:p>
        </w:tc>
        <w:tc>
          <w:tcPr>
            <w:tcW w:w="968" w:type="pct"/>
            <w:tcBorders>
              <w:top w:val="single" w:color="auto" w:sz="2" w:space="0"/>
              <w:left w:val="single" w:color="auto" w:sz="2" w:space="0"/>
              <w:bottom w:val="single" w:color="auto" w:sz="2" w:space="0"/>
              <w:right w:val="single" w:color="auto" w:sz="2" w:space="0"/>
            </w:tcBorders>
            <w:vAlign w:val="center"/>
          </w:tcPr>
          <w:p w14:paraId="58C45C7C">
            <w:pPr>
              <w:spacing w:before="0" w:after="0" w:line="240" w:lineRule="exact"/>
              <w:jc w:val="right"/>
              <w:rPr>
                <w:rFonts w:ascii="宋体" w:hAnsi="宋体" w:eastAsia="宋体" w:cs="宋体"/>
                <w:sz w:val="18"/>
                <w:szCs w:val="18"/>
              </w:rPr>
            </w:pPr>
            <w:r>
              <w:rPr>
                <w:rFonts w:ascii="宋体" w:hAnsi="宋体" w:eastAsia="宋体" w:cs="宋体"/>
                <w:sz w:val="18"/>
                <w:szCs w:val="18"/>
              </w:rPr>
              <w:t>12.16%</w:t>
            </w:r>
          </w:p>
        </w:tc>
        <w:tc>
          <w:tcPr>
            <w:tcW w:w="885" w:type="pct"/>
            <w:tcBorders>
              <w:top w:val="single" w:color="auto" w:sz="2" w:space="0"/>
              <w:left w:val="single" w:color="auto" w:sz="2" w:space="0"/>
              <w:bottom w:val="single" w:color="auto" w:sz="2" w:space="0"/>
              <w:right w:val="single" w:color="auto" w:sz="2" w:space="0"/>
            </w:tcBorders>
            <w:vAlign w:val="center"/>
          </w:tcPr>
          <w:p w14:paraId="77A8D495">
            <w:pPr>
              <w:spacing w:before="0" w:after="0" w:line="240" w:lineRule="exact"/>
              <w:jc w:val="right"/>
              <w:rPr>
                <w:rFonts w:ascii="宋体" w:hAnsi="宋体" w:eastAsia="宋体" w:cs="宋体"/>
                <w:sz w:val="18"/>
                <w:szCs w:val="18"/>
              </w:rPr>
            </w:pPr>
            <w:r>
              <w:rPr>
                <w:rFonts w:ascii="宋体" w:hAnsi="宋体" w:eastAsia="宋体" w:cs="宋体"/>
                <w:sz w:val="18"/>
                <w:szCs w:val="18"/>
              </w:rPr>
              <w:t>73,305,594.02</w:t>
            </w:r>
          </w:p>
        </w:tc>
      </w:tr>
      <w:tr w14:paraId="028EE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6" w:type="pct"/>
            <w:tcBorders>
              <w:top w:val="single" w:color="auto" w:sz="2" w:space="0"/>
              <w:left w:val="single" w:color="auto" w:sz="2" w:space="0"/>
              <w:bottom w:val="single" w:color="auto" w:sz="2" w:space="0"/>
              <w:right w:val="single" w:color="auto" w:sz="2" w:space="0"/>
            </w:tcBorders>
            <w:shd w:val="clear" w:color="auto" w:fill="D3D3D3"/>
            <w:vAlign w:val="center"/>
          </w:tcPr>
          <w:p w14:paraId="17C787ED">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844" w:type="pct"/>
            <w:tcBorders>
              <w:top w:val="single" w:color="auto" w:sz="2" w:space="0"/>
              <w:left w:val="single" w:color="auto" w:sz="2" w:space="0"/>
              <w:bottom w:val="single" w:color="auto" w:sz="2" w:space="0"/>
              <w:right w:val="single" w:color="auto" w:sz="2" w:space="0"/>
            </w:tcBorders>
            <w:vAlign w:val="center"/>
          </w:tcPr>
          <w:p w14:paraId="34DA6814">
            <w:pPr>
              <w:spacing w:before="0" w:after="0" w:line="240" w:lineRule="exact"/>
              <w:jc w:val="right"/>
              <w:rPr>
                <w:rFonts w:ascii="宋体" w:hAnsi="宋体" w:eastAsia="宋体" w:cs="宋体"/>
                <w:sz w:val="18"/>
                <w:szCs w:val="18"/>
              </w:rPr>
            </w:pPr>
            <w:r>
              <w:rPr>
                <w:rFonts w:ascii="宋体" w:hAnsi="宋体" w:eastAsia="宋体" w:cs="宋体"/>
                <w:sz w:val="18"/>
                <w:szCs w:val="18"/>
              </w:rPr>
              <w:t>0.57</w:t>
            </w:r>
          </w:p>
        </w:tc>
        <w:tc>
          <w:tcPr>
            <w:tcW w:w="865" w:type="pct"/>
            <w:tcBorders>
              <w:top w:val="single" w:color="auto" w:sz="2" w:space="0"/>
              <w:left w:val="single" w:color="auto" w:sz="2" w:space="0"/>
              <w:bottom w:val="single" w:color="auto" w:sz="2" w:space="0"/>
              <w:right w:val="single" w:color="auto" w:sz="2" w:space="0"/>
            </w:tcBorders>
            <w:vAlign w:val="center"/>
          </w:tcPr>
          <w:p w14:paraId="6DE5B8A9">
            <w:pPr>
              <w:spacing w:before="0" w:after="0" w:line="240" w:lineRule="exact"/>
              <w:jc w:val="right"/>
              <w:rPr>
                <w:rFonts w:hint="eastAsia" w:ascii="宋体" w:hAnsi="宋体" w:eastAsia="宋体" w:cs="宋体"/>
                <w:sz w:val="18"/>
                <w:szCs w:val="18"/>
                <w:lang w:val="en-US" w:eastAsia="zh-CN"/>
              </w:rPr>
            </w:pPr>
            <w:r>
              <w:rPr>
                <w:rFonts w:ascii="宋体" w:hAnsi="宋体" w:eastAsia="宋体" w:cs="宋体"/>
                <w:sz w:val="18"/>
                <w:szCs w:val="18"/>
              </w:rPr>
              <w:t>0.5</w:t>
            </w:r>
            <w:r>
              <w:rPr>
                <w:rFonts w:hint="eastAsia" w:ascii="宋体" w:hAnsi="宋体" w:cs="宋体"/>
                <w:sz w:val="18"/>
                <w:szCs w:val="18"/>
                <w:lang w:val="en-US" w:eastAsia="zh-CN"/>
              </w:rPr>
              <w:t>0</w:t>
            </w:r>
          </w:p>
        </w:tc>
        <w:tc>
          <w:tcPr>
            <w:tcW w:w="968" w:type="pct"/>
            <w:tcBorders>
              <w:top w:val="single" w:color="auto" w:sz="2" w:space="0"/>
              <w:left w:val="single" w:color="auto" w:sz="2" w:space="0"/>
              <w:bottom w:val="single" w:color="auto" w:sz="2" w:space="0"/>
              <w:right w:val="single" w:color="auto" w:sz="2" w:space="0"/>
            </w:tcBorders>
            <w:vAlign w:val="center"/>
          </w:tcPr>
          <w:p w14:paraId="78F70A04">
            <w:pPr>
              <w:spacing w:before="0" w:after="0" w:line="240" w:lineRule="exact"/>
              <w:jc w:val="right"/>
              <w:rPr>
                <w:rFonts w:ascii="宋体" w:hAnsi="宋体" w:eastAsia="宋体" w:cs="宋体"/>
                <w:sz w:val="18"/>
                <w:szCs w:val="18"/>
              </w:rPr>
            </w:pPr>
            <w:r>
              <w:rPr>
                <w:rFonts w:ascii="宋体" w:hAnsi="宋体" w:eastAsia="宋体" w:cs="宋体"/>
                <w:sz w:val="18"/>
                <w:szCs w:val="18"/>
              </w:rPr>
              <w:t>14.00%</w:t>
            </w:r>
          </w:p>
        </w:tc>
        <w:tc>
          <w:tcPr>
            <w:tcW w:w="885" w:type="pct"/>
            <w:tcBorders>
              <w:top w:val="single" w:color="auto" w:sz="2" w:space="0"/>
              <w:left w:val="single" w:color="auto" w:sz="2" w:space="0"/>
              <w:bottom w:val="single" w:color="auto" w:sz="2" w:space="0"/>
              <w:right w:val="single" w:color="auto" w:sz="2" w:space="0"/>
            </w:tcBorders>
            <w:vAlign w:val="center"/>
          </w:tcPr>
          <w:p w14:paraId="61F5E246">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r>
      <w:tr w14:paraId="30162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6" w:type="pct"/>
            <w:tcBorders>
              <w:top w:val="single" w:color="auto" w:sz="2" w:space="0"/>
              <w:left w:val="single" w:color="auto" w:sz="2" w:space="0"/>
              <w:bottom w:val="single" w:color="auto" w:sz="2" w:space="0"/>
              <w:right w:val="single" w:color="auto" w:sz="2" w:space="0"/>
            </w:tcBorders>
            <w:shd w:val="clear" w:color="auto" w:fill="D3D3D3"/>
            <w:vAlign w:val="center"/>
          </w:tcPr>
          <w:p w14:paraId="477BE849">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844" w:type="pct"/>
            <w:tcBorders>
              <w:top w:val="single" w:color="auto" w:sz="2" w:space="0"/>
              <w:left w:val="single" w:color="auto" w:sz="2" w:space="0"/>
              <w:bottom w:val="single" w:color="auto" w:sz="2" w:space="0"/>
              <w:right w:val="single" w:color="auto" w:sz="2" w:space="0"/>
            </w:tcBorders>
            <w:vAlign w:val="center"/>
          </w:tcPr>
          <w:p w14:paraId="35BA388F">
            <w:pPr>
              <w:spacing w:before="0" w:after="0" w:line="240" w:lineRule="exact"/>
              <w:jc w:val="right"/>
              <w:rPr>
                <w:rFonts w:ascii="宋体" w:hAnsi="宋体" w:eastAsia="宋体" w:cs="宋体"/>
                <w:sz w:val="18"/>
                <w:szCs w:val="18"/>
              </w:rPr>
            </w:pPr>
            <w:r>
              <w:rPr>
                <w:rFonts w:ascii="宋体" w:hAnsi="宋体" w:eastAsia="宋体" w:cs="宋体"/>
                <w:sz w:val="18"/>
                <w:szCs w:val="18"/>
              </w:rPr>
              <w:t>0.57</w:t>
            </w:r>
          </w:p>
        </w:tc>
        <w:tc>
          <w:tcPr>
            <w:tcW w:w="865" w:type="pct"/>
            <w:tcBorders>
              <w:top w:val="single" w:color="auto" w:sz="2" w:space="0"/>
              <w:left w:val="single" w:color="auto" w:sz="2" w:space="0"/>
              <w:bottom w:val="single" w:color="auto" w:sz="2" w:space="0"/>
              <w:right w:val="single" w:color="auto" w:sz="2" w:space="0"/>
            </w:tcBorders>
            <w:vAlign w:val="center"/>
          </w:tcPr>
          <w:p w14:paraId="002047AF">
            <w:pPr>
              <w:spacing w:before="0" w:after="0" w:line="240" w:lineRule="exact"/>
              <w:jc w:val="right"/>
              <w:rPr>
                <w:rFonts w:hint="eastAsia" w:ascii="宋体" w:hAnsi="宋体" w:eastAsia="宋体" w:cs="宋体"/>
                <w:sz w:val="18"/>
                <w:szCs w:val="18"/>
                <w:lang w:val="en-US" w:eastAsia="zh-CN"/>
              </w:rPr>
            </w:pPr>
            <w:r>
              <w:rPr>
                <w:rFonts w:ascii="宋体" w:hAnsi="宋体" w:eastAsia="宋体" w:cs="宋体"/>
                <w:sz w:val="18"/>
                <w:szCs w:val="18"/>
              </w:rPr>
              <w:t>0.5</w:t>
            </w:r>
            <w:r>
              <w:rPr>
                <w:rFonts w:hint="eastAsia" w:ascii="宋体" w:hAnsi="宋体" w:cs="宋体"/>
                <w:sz w:val="18"/>
                <w:szCs w:val="18"/>
                <w:lang w:val="en-US" w:eastAsia="zh-CN"/>
              </w:rPr>
              <w:t>0</w:t>
            </w:r>
          </w:p>
        </w:tc>
        <w:tc>
          <w:tcPr>
            <w:tcW w:w="968" w:type="pct"/>
            <w:tcBorders>
              <w:top w:val="single" w:color="auto" w:sz="2" w:space="0"/>
              <w:left w:val="single" w:color="auto" w:sz="2" w:space="0"/>
              <w:bottom w:val="single" w:color="auto" w:sz="2" w:space="0"/>
              <w:right w:val="single" w:color="auto" w:sz="2" w:space="0"/>
            </w:tcBorders>
            <w:vAlign w:val="center"/>
          </w:tcPr>
          <w:p w14:paraId="4BBC1A53">
            <w:pPr>
              <w:spacing w:before="0" w:after="0" w:line="240" w:lineRule="exact"/>
              <w:jc w:val="right"/>
              <w:rPr>
                <w:rFonts w:ascii="宋体" w:hAnsi="宋体" w:eastAsia="宋体" w:cs="宋体"/>
                <w:sz w:val="18"/>
                <w:szCs w:val="18"/>
              </w:rPr>
            </w:pPr>
            <w:r>
              <w:rPr>
                <w:rFonts w:ascii="宋体" w:hAnsi="宋体" w:eastAsia="宋体" w:cs="宋体"/>
                <w:sz w:val="18"/>
                <w:szCs w:val="18"/>
              </w:rPr>
              <w:t>14.00%</w:t>
            </w:r>
          </w:p>
        </w:tc>
        <w:tc>
          <w:tcPr>
            <w:tcW w:w="885" w:type="pct"/>
            <w:tcBorders>
              <w:top w:val="single" w:color="auto" w:sz="2" w:space="0"/>
              <w:left w:val="single" w:color="auto" w:sz="2" w:space="0"/>
              <w:bottom w:val="single" w:color="auto" w:sz="2" w:space="0"/>
              <w:right w:val="single" w:color="auto" w:sz="2" w:space="0"/>
            </w:tcBorders>
            <w:vAlign w:val="center"/>
          </w:tcPr>
          <w:p w14:paraId="41CF0555">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r>
      <w:tr w14:paraId="458B1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36" w:type="pct"/>
            <w:tcBorders>
              <w:top w:val="single" w:color="auto" w:sz="2" w:space="0"/>
              <w:left w:val="single" w:color="auto" w:sz="2" w:space="0"/>
              <w:bottom w:val="single" w:color="auto" w:sz="2" w:space="0"/>
              <w:right w:val="single" w:color="auto" w:sz="2" w:space="0"/>
            </w:tcBorders>
            <w:shd w:val="clear" w:color="auto" w:fill="D3D3D3"/>
            <w:vAlign w:val="center"/>
          </w:tcPr>
          <w:p w14:paraId="0E5DA44E">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844" w:type="pct"/>
            <w:tcBorders>
              <w:top w:val="single" w:color="auto" w:sz="2" w:space="0"/>
              <w:left w:val="single" w:color="auto" w:sz="2" w:space="0"/>
              <w:bottom w:val="single" w:color="auto" w:sz="2" w:space="0"/>
              <w:right w:val="single" w:color="auto" w:sz="2" w:space="0"/>
            </w:tcBorders>
            <w:vAlign w:val="center"/>
          </w:tcPr>
          <w:p w14:paraId="37BCFA96">
            <w:pPr>
              <w:spacing w:before="0" w:after="0" w:line="240" w:lineRule="exact"/>
              <w:jc w:val="right"/>
              <w:rPr>
                <w:rFonts w:ascii="宋体" w:hAnsi="宋体" w:eastAsia="宋体" w:cs="宋体"/>
                <w:sz w:val="18"/>
                <w:szCs w:val="18"/>
              </w:rPr>
            </w:pPr>
            <w:r>
              <w:rPr>
                <w:rFonts w:ascii="宋体" w:hAnsi="宋体" w:eastAsia="宋体" w:cs="宋体"/>
                <w:sz w:val="18"/>
                <w:szCs w:val="18"/>
              </w:rPr>
              <w:t>10.56%</w:t>
            </w:r>
          </w:p>
        </w:tc>
        <w:tc>
          <w:tcPr>
            <w:tcW w:w="865" w:type="pct"/>
            <w:tcBorders>
              <w:top w:val="single" w:color="auto" w:sz="2" w:space="0"/>
              <w:left w:val="single" w:color="auto" w:sz="2" w:space="0"/>
              <w:bottom w:val="single" w:color="auto" w:sz="2" w:space="0"/>
              <w:right w:val="single" w:color="auto" w:sz="2" w:space="0"/>
            </w:tcBorders>
            <w:vAlign w:val="center"/>
          </w:tcPr>
          <w:p w14:paraId="54F7B444">
            <w:pPr>
              <w:spacing w:before="0" w:after="0" w:line="240" w:lineRule="exact"/>
              <w:jc w:val="right"/>
              <w:rPr>
                <w:rFonts w:ascii="宋体" w:hAnsi="宋体" w:eastAsia="宋体" w:cs="宋体"/>
                <w:sz w:val="18"/>
                <w:szCs w:val="18"/>
              </w:rPr>
            </w:pPr>
            <w:r>
              <w:rPr>
                <w:rFonts w:ascii="宋体" w:hAnsi="宋体" w:eastAsia="宋体" w:cs="宋体"/>
                <w:sz w:val="18"/>
                <w:szCs w:val="18"/>
              </w:rPr>
              <w:t>9.78%</w:t>
            </w:r>
          </w:p>
        </w:tc>
        <w:tc>
          <w:tcPr>
            <w:tcW w:w="968" w:type="pct"/>
            <w:tcBorders>
              <w:top w:val="single" w:color="auto" w:sz="2" w:space="0"/>
              <w:left w:val="single" w:color="auto" w:sz="2" w:space="0"/>
              <w:bottom w:val="single" w:color="auto" w:sz="2" w:space="0"/>
              <w:right w:val="single" w:color="auto" w:sz="2" w:space="0"/>
            </w:tcBorders>
            <w:vAlign w:val="center"/>
          </w:tcPr>
          <w:p w14:paraId="390C4E3B">
            <w:pPr>
              <w:spacing w:before="0" w:after="0" w:line="240" w:lineRule="exact"/>
              <w:jc w:val="right"/>
              <w:rPr>
                <w:rFonts w:ascii="宋体" w:hAnsi="宋体" w:eastAsia="宋体" w:cs="宋体"/>
                <w:sz w:val="18"/>
                <w:szCs w:val="18"/>
              </w:rPr>
            </w:pPr>
            <w:r>
              <w:rPr>
                <w:rFonts w:ascii="宋体" w:hAnsi="宋体" w:eastAsia="宋体" w:cs="宋体"/>
                <w:sz w:val="18"/>
                <w:szCs w:val="18"/>
              </w:rPr>
              <w:t>0.78%</w:t>
            </w:r>
          </w:p>
        </w:tc>
        <w:tc>
          <w:tcPr>
            <w:tcW w:w="885" w:type="pct"/>
            <w:tcBorders>
              <w:top w:val="single" w:color="auto" w:sz="2" w:space="0"/>
              <w:left w:val="single" w:color="auto" w:sz="2" w:space="0"/>
              <w:bottom w:val="single" w:color="auto" w:sz="2" w:space="0"/>
              <w:right w:val="single" w:color="auto" w:sz="2" w:space="0"/>
            </w:tcBorders>
            <w:vAlign w:val="center"/>
          </w:tcPr>
          <w:p w14:paraId="60DE255C">
            <w:pPr>
              <w:spacing w:before="0" w:after="0" w:line="240" w:lineRule="exact"/>
              <w:jc w:val="right"/>
              <w:rPr>
                <w:rFonts w:ascii="宋体" w:hAnsi="宋体" w:eastAsia="宋体" w:cs="宋体"/>
                <w:sz w:val="18"/>
                <w:szCs w:val="18"/>
              </w:rPr>
            </w:pPr>
            <w:r>
              <w:rPr>
                <w:rFonts w:ascii="宋体" w:hAnsi="宋体" w:eastAsia="宋体" w:cs="宋体"/>
                <w:sz w:val="18"/>
                <w:szCs w:val="18"/>
              </w:rPr>
              <w:t>9.10%</w:t>
            </w:r>
          </w:p>
        </w:tc>
      </w:tr>
    </w:tbl>
    <w:p w14:paraId="58228E71">
      <w:pPr>
        <w:keepNext/>
        <w:keepLines/>
        <w:pageBreakBefore w:val="0"/>
        <w:widowControl w:val="0"/>
        <w:kinsoku/>
        <w:wordWrap/>
        <w:overflowPunct/>
        <w:topLinePunct w:val="0"/>
        <w:autoSpaceDE/>
        <w:autoSpaceDN/>
        <w:bidi w:val="0"/>
        <w:adjustRightInd/>
        <w:snapToGrid/>
        <w:spacing w:before="100" w:after="200" w:line="280" w:lineRule="exact"/>
        <w:jc w:val="left"/>
        <w:textAlignment w:val="auto"/>
        <w:outlineLvl w:val="3"/>
        <w:rPr>
          <w:rFonts w:ascii="宋体" w:hAnsi="宋体" w:eastAsia="宋体" w:cs="宋体"/>
          <w:b/>
          <w:bCs/>
          <w:sz w:val="18"/>
          <w:szCs w:val="18"/>
        </w:rPr>
      </w:pPr>
      <w:bookmarkStart w:id="6" w:name="_Toc988895"/>
      <w:r>
        <w:rPr>
          <w:rFonts w:ascii="宋体" w:hAnsi="宋体" w:eastAsia="宋体" w:cs="宋体"/>
          <w:b/>
          <w:bCs/>
          <w:sz w:val="18"/>
          <w:szCs w:val="18"/>
        </w:rPr>
        <w:t>（2）分季度主要会计数据</w:t>
      </w:r>
      <w:bookmarkEnd w:id="6"/>
    </w:p>
    <w:p w14:paraId="760C4978">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5"/>
        <w:gridCol w:w="1547"/>
        <w:gridCol w:w="1533"/>
        <w:gridCol w:w="1533"/>
        <w:gridCol w:w="1541"/>
      </w:tblGrid>
      <w:tr w14:paraId="15A5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75" w:type="pct"/>
            <w:shd w:val="clear" w:color="auto" w:fill="D3D3D3"/>
            <w:vAlign w:val="center"/>
          </w:tcPr>
          <w:p w14:paraId="79525C6A"/>
        </w:tc>
        <w:tc>
          <w:tcPr>
            <w:tcW w:w="785" w:type="pct"/>
            <w:shd w:val="clear" w:color="auto" w:fill="D3D3D3"/>
            <w:vAlign w:val="center"/>
          </w:tcPr>
          <w:p w14:paraId="38B27828">
            <w:pPr>
              <w:spacing w:before="40" w:after="40" w:line="240" w:lineRule="exact"/>
              <w:jc w:val="center"/>
              <w:rPr>
                <w:rFonts w:ascii="宋体" w:hAnsi="宋体" w:eastAsia="宋体" w:cs="宋体"/>
                <w:sz w:val="18"/>
                <w:szCs w:val="18"/>
              </w:rPr>
            </w:pPr>
            <w:r>
              <w:rPr>
                <w:rFonts w:ascii="宋体" w:hAnsi="宋体" w:eastAsia="宋体" w:cs="宋体"/>
                <w:sz w:val="18"/>
                <w:szCs w:val="18"/>
              </w:rPr>
              <w:t>第一季度</w:t>
            </w:r>
          </w:p>
        </w:tc>
        <w:tc>
          <w:tcPr>
            <w:tcW w:w="778" w:type="pct"/>
            <w:shd w:val="clear" w:color="auto" w:fill="D3D3D3"/>
            <w:vAlign w:val="center"/>
          </w:tcPr>
          <w:p w14:paraId="732D41BD">
            <w:pPr>
              <w:spacing w:before="40" w:after="40" w:line="240" w:lineRule="exact"/>
              <w:jc w:val="center"/>
              <w:rPr>
                <w:rFonts w:ascii="宋体" w:hAnsi="宋体" w:eastAsia="宋体" w:cs="宋体"/>
                <w:sz w:val="18"/>
                <w:szCs w:val="18"/>
              </w:rPr>
            </w:pPr>
            <w:r>
              <w:rPr>
                <w:rFonts w:ascii="宋体" w:hAnsi="宋体" w:eastAsia="宋体" w:cs="宋体"/>
                <w:sz w:val="18"/>
                <w:szCs w:val="18"/>
              </w:rPr>
              <w:t>第二季度</w:t>
            </w:r>
          </w:p>
        </w:tc>
        <w:tc>
          <w:tcPr>
            <w:tcW w:w="778" w:type="pct"/>
            <w:shd w:val="clear" w:color="auto" w:fill="D3D3D3"/>
            <w:vAlign w:val="center"/>
          </w:tcPr>
          <w:p w14:paraId="6E4CD967">
            <w:pPr>
              <w:spacing w:before="40" w:after="40" w:line="240" w:lineRule="exact"/>
              <w:jc w:val="center"/>
              <w:rPr>
                <w:rFonts w:ascii="宋体" w:hAnsi="宋体" w:eastAsia="宋体" w:cs="宋体"/>
                <w:sz w:val="18"/>
                <w:szCs w:val="18"/>
              </w:rPr>
            </w:pPr>
            <w:r>
              <w:rPr>
                <w:rFonts w:ascii="宋体" w:hAnsi="宋体" w:eastAsia="宋体" w:cs="宋体"/>
                <w:sz w:val="18"/>
                <w:szCs w:val="18"/>
              </w:rPr>
              <w:t>第三季度</w:t>
            </w:r>
          </w:p>
        </w:tc>
        <w:tc>
          <w:tcPr>
            <w:tcW w:w="782" w:type="pct"/>
            <w:shd w:val="clear" w:color="auto" w:fill="D3D3D3"/>
            <w:vAlign w:val="center"/>
          </w:tcPr>
          <w:p w14:paraId="3585215D">
            <w:pPr>
              <w:spacing w:before="40" w:after="40" w:line="240" w:lineRule="exact"/>
              <w:jc w:val="center"/>
              <w:rPr>
                <w:rFonts w:ascii="宋体" w:hAnsi="宋体" w:eastAsia="宋体" w:cs="宋体"/>
                <w:sz w:val="18"/>
                <w:szCs w:val="18"/>
              </w:rPr>
            </w:pPr>
            <w:r>
              <w:rPr>
                <w:rFonts w:ascii="宋体" w:hAnsi="宋体" w:eastAsia="宋体" w:cs="宋体"/>
                <w:sz w:val="18"/>
                <w:szCs w:val="18"/>
              </w:rPr>
              <w:t>第四季度</w:t>
            </w:r>
          </w:p>
        </w:tc>
      </w:tr>
      <w:tr w14:paraId="2B28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75" w:type="pct"/>
            <w:shd w:val="clear" w:color="auto" w:fill="D3D3D3"/>
            <w:vAlign w:val="center"/>
          </w:tcPr>
          <w:p w14:paraId="3ED4000A">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785" w:type="pct"/>
            <w:vAlign w:val="center"/>
          </w:tcPr>
          <w:p w14:paraId="3AEB1B20">
            <w:pPr>
              <w:spacing w:before="0" w:after="0" w:line="240" w:lineRule="exact"/>
              <w:jc w:val="right"/>
              <w:rPr>
                <w:rFonts w:ascii="宋体" w:hAnsi="宋体" w:eastAsia="宋体" w:cs="宋体"/>
                <w:sz w:val="18"/>
                <w:szCs w:val="18"/>
              </w:rPr>
            </w:pPr>
            <w:r>
              <w:rPr>
                <w:rFonts w:ascii="宋体" w:hAnsi="宋体" w:eastAsia="宋体" w:cs="宋体"/>
                <w:sz w:val="18"/>
                <w:szCs w:val="18"/>
              </w:rPr>
              <w:t>134,818,291.90</w:t>
            </w:r>
          </w:p>
        </w:tc>
        <w:tc>
          <w:tcPr>
            <w:tcW w:w="778" w:type="pct"/>
            <w:vAlign w:val="center"/>
          </w:tcPr>
          <w:p w14:paraId="00E9A313">
            <w:pPr>
              <w:spacing w:before="0" w:after="0" w:line="240" w:lineRule="exact"/>
              <w:jc w:val="right"/>
              <w:rPr>
                <w:rFonts w:ascii="宋体" w:hAnsi="宋体" w:eastAsia="宋体" w:cs="宋体"/>
                <w:sz w:val="18"/>
                <w:szCs w:val="18"/>
              </w:rPr>
            </w:pPr>
            <w:r>
              <w:rPr>
                <w:rFonts w:ascii="宋体" w:hAnsi="宋体" w:eastAsia="宋体" w:cs="宋体"/>
                <w:sz w:val="18"/>
                <w:szCs w:val="18"/>
              </w:rPr>
              <w:t>141,704,245.66</w:t>
            </w:r>
          </w:p>
        </w:tc>
        <w:tc>
          <w:tcPr>
            <w:tcW w:w="778" w:type="pct"/>
            <w:vAlign w:val="center"/>
          </w:tcPr>
          <w:p w14:paraId="6B53FDF3">
            <w:pPr>
              <w:spacing w:before="0" w:after="0" w:line="240" w:lineRule="exact"/>
              <w:jc w:val="right"/>
              <w:rPr>
                <w:rFonts w:ascii="宋体" w:hAnsi="宋体" w:eastAsia="宋体" w:cs="宋体"/>
                <w:sz w:val="18"/>
                <w:szCs w:val="18"/>
              </w:rPr>
            </w:pPr>
            <w:r>
              <w:rPr>
                <w:rFonts w:ascii="宋体" w:hAnsi="宋体" w:eastAsia="宋体" w:cs="宋体"/>
                <w:sz w:val="18"/>
                <w:szCs w:val="18"/>
              </w:rPr>
              <w:t>146,897,297.06</w:t>
            </w:r>
          </w:p>
        </w:tc>
        <w:tc>
          <w:tcPr>
            <w:tcW w:w="782" w:type="pct"/>
            <w:vAlign w:val="center"/>
          </w:tcPr>
          <w:p w14:paraId="3AD9A24B">
            <w:pPr>
              <w:spacing w:before="0" w:after="0" w:line="240" w:lineRule="exact"/>
              <w:jc w:val="right"/>
              <w:rPr>
                <w:rFonts w:ascii="宋体" w:hAnsi="宋体" w:eastAsia="宋体" w:cs="宋体"/>
                <w:sz w:val="18"/>
                <w:szCs w:val="18"/>
              </w:rPr>
            </w:pPr>
            <w:r>
              <w:rPr>
                <w:rFonts w:ascii="宋体" w:hAnsi="宋体" w:eastAsia="宋体" w:cs="宋体"/>
                <w:sz w:val="18"/>
                <w:szCs w:val="18"/>
              </w:rPr>
              <w:t>121,723,492.24</w:t>
            </w:r>
          </w:p>
        </w:tc>
      </w:tr>
      <w:tr w14:paraId="5A02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75" w:type="pct"/>
            <w:shd w:val="clear" w:color="auto" w:fill="D3D3D3"/>
            <w:vAlign w:val="center"/>
          </w:tcPr>
          <w:p w14:paraId="12850DBD">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w:t>
            </w:r>
          </w:p>
        </w:tc>
        <w:tc>
          <w:tcPr>
            <w:tcW w:w="785" w:type="pct"/>
            <w:vAlign w:val="center"/>
          </w:tcPr>
          <w:p w14:paraId="03A92F3E">
            <w:pPr>
              <w:spacing w:before="0" w:after="0" w:line="240" w:lineRule="exact"/>
              <w:jc w:val="right"/>
              <w:rPr>
                <w:rFonts w:ascii="宋体" w:hAnsi="宋体" w:eastAsia="宋体" w:cs="宋体"/>
                <w:sz w:val="18"/>
                <w:szCs w:val="18"/>
              </w:rPr>
            </w:pPr>
            <w:r>
              <w:rPr>
                <w:rFonts w:ascii="宋体" w:hAnsi="宋体" w:eastAsia="宋体" w:cs="宋体"/>
                <w:sz w:val="18"/>
                <w:szCs w:val="18"/>
              </w:rPr>
              <w:t>29,743,354.30</w:t>
            </w:r>
          </w:p>
        </w:tc>
        <w:tc>
          <w:tcPr>
            <w:tcW w:w="778" w:type="pct"/>
            <w:vAlign w:val="center"/>
          </w:tcPr>
          <w:p w14:paraId="18E16A44">
            <w:pPr>
              <w:spacing w:before="0" w:after="0" w:line="240" w:lineRule="exact"/>
              <w:jc w:val="right"/>
              <w:rPr>
                <w:rFonts w:ascii="宋体" w:hAnsi="宋体" w:eastAsia="宋体" w:cs="宋体"/>
                <w:sz w:val="18"/>
                <w:szCs w:val="18"/>
              </w:rPr>
            </w:pPr>
            <w:r>
              <w:rPr>
                <w:rFonts w:ascii="宋体" w:hAnsi="宋体" w:eastAsia="宋体" w:cs="宋体"/>
                <w:sz w:val="18"/>
                <w:szCs w:val="18"/>
              </w:rPr>
              <w:t>34,982,179.63</w:t>
            </w:r>
          </w:p>
        </w:tc>
        <w:tc>
          <w:tcPr>
            <w:tcW w:w="778" w:type="pct"/>
            <w:vAlign w:val="center"/>
          </w:tcPr>
          <w:p w14:paraId="5E1039CD">
            <w:pPr>
              <w:spacing w:before="0" w:after="0" w:line="240" w:lineRule="exact"/>
              <w:jc w:val="right"/>
              <w:rPr>
                <w:rFonts w:ascii="宋体" w:hAnsi="宋体" w:eastAsia="宋体" w:cs="宋体"/>
                <w:sz w:val="18"/>
                <w:szCs w:val="18"/>
              </w:rPr>
            </w:pPr>
            <w:r>
              <w:rPr>
                <w:rFonts w:ascii="宋体" w:hAnsi="宋体" w:eastAsia="宋体" w:cs="宋体"/>
                <w:sz w:val="18"/>
                <w:szCs w:val="18"/>
              </w:rPr>
              <w:t>28,043,510.24</w:t>
            </w:r>
          </w:p>
        </w:tc>
        <w:tc>
          <w:tcPr>
            <w:tcW w:w="782" w:type="pct"/>
            <w:vAlign w:val="center"/>
          </w:tcPr>
          <w:p w14:paraId="7EFE9AA3">
            <w:pPr>
              <w:spacing w:before="0" w:after="0" w:line="240" w:lineRule="exact"/>
              <w:jc w:val="right"/>
              <w:rPr>
                <w:rFonts w:ascii="宋体" w:hAnsi="宋体" w:eastAsia="宋体" w:cs="宋体"/>
                <w:sz w:val="18"/>
                <w:szCs w:val="18"/>
              </w:rPr>
            </w:pPr>
            <w:r>
              <w:rPr>
                <w:rFonts w:ascii="宋体" w:hAnsi="宋体" w:eastAsia="宋体" w:cs="宋体"/>
                <w:sz w:val="18"/>
                <w:szCs w:val="18"/>
              </w:rPr>
              <w:t>18,101,921.63</w:t>
            </w:r>
          </w:p>
        </w:tc>
      </w:tr>
      <w:tr w14:paraId="448C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75" w:type="pct"/>
            <w:shd w:val="clear" w:color="auto" w:fill="D3D3D3"/>
            <w:vAlign w:val="center"/>
          </w:tcPr>
          <w:p w14:paraId="613FD84D">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w:t>
            </w:r>
          </w:p>
        </w:tc>
        <w:tc>
          <w:tcPr>
            <w:tcW w:w="785" w:type="pct"/>
            <w:vAlign w:val="center"/>
          </w:tcPr>
          <w:p w14:paraId="5A8CE836">
            <w:pPr>
              <w:spacing w:before="0" w:after="0" w:line="240" w:lineRule="exact"/>
              <w:jc w:val="right"/>
              <w:rPr>
                <w:rFonts w:ascii="宋体" w:hAnsi="宋体" w:eastAsia="宋体" w:cs="宋体"/>
                <w:sz w:val="18"/>
                <w:szCs w:val="18"/>
              </w:rPr>
            </w:pPr>
            <w:r>
              <w:rPr>
                <w:rFonts w:ascii="宋体" w:hAnsi="宋体" w:eastAsia="宋体" w:cs="宋体"/>
                <w:sz w:val="18"/>
                <w:szCs w:val="18"/>
              </w:rPr>
              <w:t>27,713,172.18</w:t>
            </w:r>
          </w:p>
        </w:tc>
        <w:tc>
          <w:tcPr>
            <w:tcW w:w="778" w:type="pct"/>
            <w:vAlign w:val="center"/>
          </w:tcPr>
          <w:p w14:paraId="18441733">
            <w:pPr>
              <w:spacing w:before="0" w:after="0" w:line="240" w:lineRule="exact"/>
              <w:jc w:val="right"/>
              <w:rPr>
                <w:rFonts w:ascii="宋体" w:hAnsi="宋体" w:eastAsia="宋体" w:cs="宋体"/>
                <w:sz w:val="18"/>
                <w:szCs w:val="18"/>
              </w:rPr>
            </w:pPr>
            <w:r>
              <w:rPr>
                <w:rFonts w:ascii="宋体" w:hAnsi="宋体" w:eastAsia="宋体" w:cs="宋体"/>
                <w:sz w:val="18"/>
                <w:szCs w:val="18"/>
              </w:rPr>
              <w:t>33,795,101.29</w:t>
            </w:r>
          </w:p>
        </w:tc>
        <w:tc>
          <w:tcPr>
            <w:tcW w:w="778" w:type="pct"/>
            <w:vAlign w:val="center"/>
          </w:tcPr>
          <w:p w14:paraId="2BC94D60">
            <w:pPr>
              <w:spacing w:before="0" w:after="0" w:line="240" w:lineRule="exact"/>
              <w:jc w:val="right"/>
              <w:rPr>
                <w:rFonts w:ascii="宋体" w:hAnsi="宋体" w:eastAsia="宋体" w:cs="宋体"/>
                <w:sz w:val="18"/>
                <w:szCs w:val="18"/>
              </w:rPr>
            </w:pPr>
            <w:r>
              <w:rPr>
                <w:rFonts w:ascii="宋体" w:hAnsi="宋体" w:eastAsia="宋体" w:cs="宋体"/>
                <w:sz w:val="18"/>
                <w:szCs w:val="18"/>
              </w:rPr>
              <w:t>26,090,420.11</w:t>
            </w:r>
          </w:p>
        </w:tc>
        <w:tc>
          <w:tcPr>
            <w:tcW w:w="782" w:type="pct"/>
            <w:vAlign w:val="center"/>
          </w:tcPr>
          <w:p w14:paraId="0B4B0617">
            <w:pPr>
              <w:spacing w:before="0" w:after="0" w:line="240" w:lineRule="exact"/>
              <w:jc w:val="right"/>
              <w:rPr>
                <w:rFonts w:ascii="宋体" w:hAnsi="宋体" w:eastAsia="宋体" w:cs="宋体"/>
                <w:sz w:val="18"/>
                <w:szCs w:val="18"/>
              </w:rPr>
            </w:pPr>
            <w:r>
              <w:rPr>
                <w:rFonts w:ascii="宋体" w:hAnsi="宋体" w:eastAsia="宋体" w:cs="宋体"/>
                <w:sz w:val="18"/>
                <w:szCs w:val="18"/>
              </w:rPr>
              <w:t>9,775,145.49</w:t>
            </w:r>
          </w:p>
        </w:tc>
      </w:tr>
      <w:tr w14:paraId="62B9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75" w:type="pct"/>
            <w:shd w:val="clear" w:color="auto" w:fill="D3D3D3"/>
            <w:vAlign w:val="center"/>
          </w:tcPr>
          <w:p w14:paraId="0F839889">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785" w:type="pct"/>
            <w:vAlign w:val="center"/>
          </w:tcPr>
          <w:p w14:paraId="1DA20D91">
            <w:pPr>
              <w:spacing w:before="0" w:after="0" w:line="240" w:lineRule="exact"/>
              <w:jc w:val="right"/>
              <w:rPr>
                <w:rFonts w:ascii="宋体" w:hAnsi="宋体" w:eastAsia="宋体" w:cs="宋体"/>
                <w:sz w:val="18"/>
                <w:szCs w:val="18"/>
              </w:rPr>
            </w:pPr>
            <w:r>
              <w:rPr>
                <w:rFonts w:ascii="宋体" w:hAnsi="宋体" w:eastAsia="宋体" w:cs="宋体"/>
                <w:sz w:val="18"/>
                <w:szCs w:val="18"/>
              </w:rPr>
              <w:t>5,496,965.14</w:t>
            </w:r>
          </w:p>
        </w:tc>
        <w:tc>
          <w:tcPr>
            <w:tcW w:w="778" w:type="pct"/>
            <w:vAlign w:val="center"/>
          </w:tcPr>
          <w:p w14:paraId="01F069D5">
            <w:pPr>
              <w:spacing w:before="0" w:after="0" w:line="240" w:lineRule="exact"/>
              <w:jc w:val="right"/>
              <w:rPr>
                <w:rFonts w:ascii="宋体" w:hAnsi="宋体" w:eastAsia="宋体" w:cs="宋体"/>
                <w:sz w:val="18"/>
                <w:szCs w:val="18"/>
              </w:rPr>
            </w:pPr>
            <w:r>
              <w:rPr>
                <w:rFonts w:ascii="宋体" w:hAnsi="宋体" w:eastAsia="宋体" w:cs="宋体"/>
                <w:sz w:val="18"/>
                <w:szCs w:val="18"/>
              </w:rPr>
              <w:t>48,556,127.21</w:t>
            </w:r>
          </w:p>
        </w:tc>
        <w:tc>
          <w:tcPr>
            <w:tcW w:w="778" w:type="pct"/>
            <w:vAlign w:val="center"/>
          </w:tcPr>
          <w:p w14:paraId="3E437B1A">
            <w:pPr>
              <w:spacing w:before="0" w:after="0" w:line="240" w:lineRule="exact"/>
              <w:jc w:val="right"/>
              <w:rPr>
                <w:rFonts w:ascii="宋体" w:hAnsi="宋体" w:eastAsia="宋体" w:cs="宋体"/>
                <w:sz w:val="18"/>
                <w:szCs w:val="18"/>
              </w:rPr>
            </w:pPr>
            <w:r>
              <w:rPr>
                <w:rFonts w:ascii="宋体" w:hAnsi="宋体" w:eastAsia="宋体" w:cs="宋体"/>
                <w:sz w:val="18"/>
                <w:szCs w:val="18"/>
              </w:rPr>
              <w:t>73,076,804.16</w:t>
            </w:r>
          </w:p>
        </w:tc>
        <w:tc>
          <w:tcPr>
            <w:tcW w:w="782" w:type="pct"/>
            <w:vAlign w:val="center"/>
          </w:tcPr>
          <w:p w14:paraId="0359F15B">
            <w:pPr>
              <w:spacing w:before="0" w:after="0" w:line="240" w:lineRule="exact"/>
              <w:jc w:val="right"/>
              <w:rPr>
                <w:rFonts w:ascii="宋体" w:hAnsi="宋体" w:eastAsia="宋体" w:cs="宋体"/>
                <w:sz w:val="18"/>
                <w:szCs w:val="18"/>
              </w:rPr>
            </w:pPr>
            <w:r>
              <w:rPr>
                <w:rFonts w:ascii="宋体" w:hAnsi="宋体" w:eastAsia="宋体" w:cs="宋体"/>
                <w:sz w:val="18"/>
                <w:szCs w:val="18"/>
              </w:rPr>
              <w:t>-22,743,312.47</w:t>
            </w:r>
          </w:p>
        </w:tc>
      </w:tr>
    </w:tbl>
    <w:p w14:paraId="166A2337">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上述财务指标或其加总数是否与公司已披露季度报告、半年度报告相关财务指标存在重大差异</w:t>
      </w:r>
    </w:p>
    <w:p w14:paraId="46AAB175">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1FF00E9B">
      <w:pPr>
        <w:pStyle w:val="3"/>
        <w:keepNext/>
        <w:keepLines/>
        <w:pageBreakBefore w:val="0"/>
        <w:widowControl w:val="0"/>
        <w:kinsoku/>
        <w:wordWrap/>
        <w:overflowPunct/>
        <w:topLinePunct w:val="0"/>
        <w:autoSpaceDE/>
        <w:autoSpaceDN/>
        <w:bidi w:val="0"/>
        <w:adjustRightInd/>
        <w:snapToGrid/>
        <w:spacing w:before="100" w:after="200" w:line="280" w:lineRule="exact"/>
        <w:jc w:val="left"/>
        <w:textAlignment w:val="auto"/>
        <w:outlineLvl w:val="2"/>
        <w:rPr>
          <w:rFonts w:ascii="宋体" w:hAnsi="宋体" w:eastAsia="宋体" w:cs="宋体"/>
          <w:b/>
          <w:bCs/>
          <w:sz w:val="21"/>
          <w:szCs w:val="21"/>
        </w:rPr>
      </w:pPr>
      <w:bookmarkStart w:id="7" w:name="_Toc988896"/>
      <w:r>
        <w:rPr>
          <w:rFonts w:ascii="宋体" w:hAnsi="宋体" w:eastAsia="宋体" w:cs="宋体"/>
          <w:b/>
          <w:bCs/>
          <w:sz w:val="21"/>
          <w:szCs w:val="21"/>
        </w:rPr>
        <w:t>4、股本及股东情况</w:t>
      </w:r>
      <w:bookmarkEnd w:id="7"/>
    </w:p>
    <w:p w14:paraId="48C6FB7D">
      <w:pPr>
        <w:keepNext/>
        <w:keepLines/>
        <w:pageBreakBefore w:val="0"/>
        <w:widowControl w:val="0"/>
        <w:kinsoku/>
        <w:wordWrap/>
        <w:overflowPunct/>
        <w:topLinePunct w:val="0"/>
        <w:autoSpaceDE/>
        <w:autoSpaceDN/>
        <w:bidi w:val="0"/>
        <w:adjustRightInd/>
        <w:snapToGrid/>
        <w:spacing w:before="100" w:after="200" w:line="280" w:lineRule="exact"/>
        <w:jc w:val="left"/>
        <w:textAlignment w:val="auto"/>
        <w:outlineLvl w:val="3"/>
        <w:rPr>
          <w:rFonts w:ascii="宋体" w:hAnsi="宋体" w:eastAsia="宋体" w:cs="宋体"/>
          <w:b/>
          <w:bCs/>
          <w:sz w:val="18"/>
          <w:szCs w:val="18"/>
        </w:rPr>
      </w:pPr>
      <w:bookmarkStart w:id="8" w:name="_Toc988897"/>
      <w:r>
        <w:rPr>
          <w:rFonts w:ascii="宋体" w:hAnsi="宋体" w:eastAsia="宋体" w:cs="宋体"/>
          <w:b/>
          <w:bCs/>
          <w:sz w:val="18"/>
          <w:szCs w:val="18"/>
        </w:rPr>
        <w:t>（1）普通股股东和表决权恢复的优先股股东数量及前10名股东持股情况表</w:t>
      </w:r>
      <w:bookmarkEnd w:id="8"/>
    </w:p>
    <w:p w14:paraId="17DB18B9">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7"/>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072"/>
        <w:gridCol w:w="314"/>
        <w:gridCol w:w="1281"/>
        <w:gridCol w:w="195"/>
        <w:gridCol w:w="672"/>
        <w:gridCol w:w="534"/>
        <w:gridCol w:w="941"/>
        <w:gridCol w:w="271"/>
        <w:gridCol w:w="894"/>
        <w:gridCol w:w="375"/>
        <w:gridCol w:w="970"/>
        <w:gridCol w:w="184"/>
        <w:gridCol w:w="915"/>
      </w:tblGrid>
      <w:tr w14:paraId="26B3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47" w:type="pct"/>
            <w:shd w:val="clear" w:color="auto" w:fill="D3D3D3"/>
            <w:vAlign w:val="center"/>
          </w:tcPr>
          <w:p w14:paraId="4732C350">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554" w:type="pct"/>
            <w:vAlign w:val="center"/>
          </w:tcPr>
          <w:p w14:paraId="43CCE6C7">
            <w:pPr>
              <w:spacing w:before="0" w:after="0" w:line="240" w:lineRule="exact"/>
              <w:jc w:val="right"/>
              <w:rPr>
                <w:rFonts w:ascii="宋体" w:hAnsi="宋体" w:eastAsia="宋体" w:cs="宋体"/>
                <w:sz w:val="18"/>
                <w:szCs w:val="18"/>
              </w:rPr>
            </w:pPr>
            <w:r>
              <w:rPr>
                <w:rFonts w:ascii="宋体" w:hAnsi="宋体" w:eastAsia="宋体" w:cs="宋体"/>
                <w:sz w:val="18"/>
                <w:szCs w:val="18"/>
              </w:rPr>
              <w:t>14,752</w:t>
            </w:r>
          </w:p>
        </w:tc>
        <w:tc>
          <w:tcPr>
            <w:tcW w:w="824" w:type="pct"/>
            <w:gridSpan w:val="2"/>
            <w:shd w:val="clear" w:color="auto" w:fill="D3D3D3"/>
            <w:vAlign w:val="center"/>
          </w:tcPr>
          <w:p w14:paraId="2840CA22">
            <w:pPr>
              <w:spacing w:before="40" w:after="40" w:line="240" w:lineRule="exact"/>
              <w:jc w:val="left"/>
              <w:rPr>
                <w:rFonts w:ascii="宋体" w:hAnsi="宋体" w:eastAsia="宋体" w:cs="宋体"/>
                <w:sz w:val="18"/>
                <w:szCs w:val="18"/>
              </w:rPr>
            </w:pPr>
            <w:r>
              <w:rPr>
                <w:rFonts w:ascii="宋体" w:hAnsi="宋体" w:eastAsia="宋体" w:cs="宋体"/>
                <w:sz w:val="18"/>
                <w:szCs w:val="18"/>
              </w:rPr>
              <w:t>年度报告披露日前一个月末普通股股东总数</w:t>
            </w:r>
          </w:p>
        </w:tc>
        <w:tc>
          <w:tcPr>
            <w:tcW w:w="448" w:type="pct"/>
            <w:gridSpan w:val="2"/>
            <w:vAlign w:val="center"/>
          </w:tcPr>
          <w:p w14:paraId="071B9A01">
            <w:pPr>
              <w:spacing w:before="0" w:after="0" w:line="240" w:lineRule="exact"/>
              <w:jc w:val="right"/>
              <w:rPr>
                <w:rFonts w:ascii="宋体" w:hAnsi="宋体" w:eastAsia="宋体" w:cs="宋体"/>
                <w:sz w:val="18"/>
                <w:szCs w:val="18"/>
              </w:rPr>
            </w:pPr>
            <w:r>
              <w:rPr>
                <w:rFonts w:ascii="宋体" w:hAnsi="宋体" w:eastAsia="宋体" w:cs="宋体"/>
                <w:sz w:val="18"/>
                <w:szCs w:val="18"/>
              </w:rPr>
              <w:t>14,978</w:t>
            </w:r>
          </w:p>
        </w:tc>
        <w:tc>
          <w:tcPr>
            <w:tcW w:w="762" w:type="pct"/>
            <w:gridSpan w:val="2"/>
            <w:shd w:val="clear" w:color="auto" w:fill="D3D3D3"/>
            <w:vAlign w:val="center"/>
          </w:tcPr>
          <w:p w14:paraId="770D4530">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w:t>
            </w:r>
          </w:p>
        </w:tc>
        <w:tc>
          <w:tcPr>
            <w:tcW w:w="602" w:type="pct"/>
            <w:gridSpan w:val="2"/>
            <w:vAlign w:val="center"/>
          </w:tcPr>
          <w:p w14:paraId="516868B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90" w:type="pct"/>
            <w:gridSpan w:val="3"/>
            <w:shd w:val="clear" w:color="auto" w:fill="D3D3D3"/>
            <w:vAlign w:val="center"/>
          </w:tcPr>
          <w:p w14:paraId="054C236F">
            <w:pPr>
              <w:spacing w:before="40" w:after="40" w:line="240" w:lineRule="exact"/>
              <w:jc w:val="left"/>
              <w:rPr>
                <w:rFonts w:ascii="宋体" w:hAnsi="宋体" w:eastAsia="宋体" w:cs="宋体"/>
                <w:sz w:val="18"/>
                <w:szCs w:val="18"/>
              </w:rPr>
            </w:pPr>
            <w:r>
              <w:rPr>
                <w:rFonts w:ascii="宋体" w:hAnsi="宋体" w:eastAsia="宋体" w:cs="宋体"/>
                <w:sz w:val="18"/>
                <w:szCs w:val="18"/>
              </w:rPr>
              <w:t>年度报告披露日前一个月末表决权恢复的优先股股东总数</w:t>
            </w:r>
          </w:p>
        </w:tc>
        <w:tc>
          <w:tcPr>
            <w:tcW w:w="470" w:type="pct"/>
            <w:vAlign w:val="center"/>
          </w:tcPr>
          <w:p w14:paraId="71D3364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333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000" w:type="pct"/>
            <w:gridSpan w:val="14"/>
            <w:shd w:val="clear" w:color="auto" w:fill="D3D3D3"/>
            <w:vAlign w:val="center"/>
          </w:tcPr>
          <w:p w14:paraId="5DB600B1">
            <w:pPr>
              <w:spacing w:before="40" w:after="40" w:line="24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14:paraId="4317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vMerge w:val="restart"/>
            <w:shd w:val="clear" w:color="auto" w:fill="D3D3D3"/>
            <w:vAlign w:val="center"/>
          </w:tcPr>
          <w:p w14:paraId="1D3A5FAF">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763" w:type="pct"/>
            <w:gridSpan w:val="2"/>
            <w:vMerge w:val="restart"/>
            <w:shd w:val="clear" w:color="auto" w:fill="D3D3D3"/>
            <w:vAlign w:val="center"/>
          </w:tcPr>
          <w:p w14:paraId="5D00AA38">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623" w:type="pct"/>
            <w:gridSpan w:val="2"/>
            <w:vMerge w:val="restart"/>
            <w:shd w:val="clear" w:color="auto" w:fill="D3D3D3"/>
            <w:vAlign w:val="center"/>
          </w:tcPr>
          <w:p w14:paraId="47021197">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626" w:type="pct"/>
            <w:gridSpan w:val="2"/>
            <w:vMerge w:val="restart"/>
            <w:shd w:val="clear" w:color="auto" w:fill="D3D3D3"/>
            <w:vAlign w:val="center"/>
          </w:tcPr>
          <w:p w14:paraId="67112DB1">
            <w:pPr>
              <w:spacing w:before="40" w:after="4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656" w:type="pct"/>
            <w:gridSpan w:val="2"/>
            <w:vMerge w:val="restart"/>
            <w:shd w:val="clear" w:color="auto" w:fill="D3D3D3"/>
            <w:vAlign w:val="center"/>
          </w:tcPr>
          <w:p w14:paraId="608A6C7A">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1066" w:type="pct"/>
            <w:gridSpan w:val="3"/>
            <w:shd w:val="clear" w:color="auto" w:fill="D3D3D3"/>
            <w:vAlign w:val="center"/>
          </w:tcPr>
          <w:p w14:paraId="559FAA85">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14:paraId="1C52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vMerge w:val="continue"/>
            <w:shd w:val="clear" w:color="auto" w:fill="D3D3D3"/>
            <w:vAlign w:val="center"/>
          </w:tcPr>
          <w:p w14:paraId="3C97EDA4"/>
        </w:tc>
        <w:tc>
          <w:tcPr>
            <w:tcW w:w="763" w:type="pct"/>
            <w:gridSpan w:val="2"/>
            <w:vMerge w:val="continue"/>
            <w:shd w:val="clear" w:color="auto" w:fill="D3D3D3"/>
            <w:vAlign w:val="center"/>
          </w:tcPr>
          <w:p w14:paraId="242B4E54"/>
        </w:tc>
        <w:tc>
          <w:tcPr>
            <w:tcW w:w="623" w:type="pct"/>
            <w:gridSpan w:val="2"/>
            <w:vMerge w:val="continue"/>
            <w:shd w:val="clear" w:color="auto" w:fill="D3D3D3"/>
            <w:vAlign w:val="center"/>
          </w:tcPr>
          <w:p w14:paraId="7D8D3524"/>
        </w:tc>
        <w:tc>
          <w:tcPr>
            <w:tcW w:w="626" w:type="pct"/>
            <w:gridSpan w:val="2"/>
            <w:vMerge w:val="continue"/>
            <w:shd w:val="clear" w:color="auto" w:fill="D3D3D3"/>
            <w:vAlign w:val="center"/>
          </w:tcPr>
          <w:p w14:paraId="6D0452E7"/>
        </w:tc>
        <w:tc>
          <w:tcPr>
            <w:tcW w:w="656" w:type="pct"/>
            <w:gridSpan w:val="2"/>
            <w:vMerge w:val="continue"/>
            <w:shd w:val="clear" w:color="auto" w:fill="D3D3D3"/>
            <w:vAlign w:val="center"/>
          </w:tcPr>
          <w:p w14:paraId="1C08CAD3"/>
        </w:tc>
        <w:tc>
          <w:tcPr>
            <w:tcW w:w="501" w:type="pct"/>
            <w:shd w:val="clear" w:color="auto" w:fill="D3D3D3"/>
            <w:vAlign w:val="center"/>
          </w:tcPr>
          <w:p w14:paraId="60759AFD">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564" w:type="pct"/>
            <w:gridSpan w:val="2"/>
            <w:shd w:val="clear" w:color="auto" w:fill="D3D3D3"/>
            <w:vAlign w:val="center"/>
          </w:tcPr>
          <w:p w14:paraId="623864E4">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14:paraId="2DE0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vAlign w:val="center"/>
          </w:tcPr>
          <w:p w14:paraId="0A54DA0D">
            <w:pPr>
              <w:spacing w:before="0" w:after="0" w:line="24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w:t>
            </w:r>
          </w:p>
        </w:tc>
        <w:tc>
          <w:tcPr>
            <w:tcW w:w="763" w:type="pct"/>
            <w:gridSpan w:val="2"/>
            <w:vAlign w:val="center"/>
          </w:tcPr>
          <w:p w14:paraId="239D6382">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623" w:type="pct"/>
            <w:gridSpan w:val="2"/>
            <w:vAlign w:val="center"/>
          </w:tcPr>
          <w:p w14:paraId="066DAB5A">
            <w:pPr>
              <w:spacing w:before="0" w:after="0" w:line="240" w:lineRule="exact"/>
              <w:jc w:val="right"/>
              <w:rPr>
                <w:rFonts w:ascii="宋体" w:hAnsi="宋体" w:eastAsia="宋体" w:cs="宋体"/>
                <w:sz w:val="18"/>
                <w:szCs w:val="18"/>
              </w:rPr>
            </w:pPr>
            <w:r>
              <w:rPr>
                <w:rFonts w:ascii="宋体" w:hAnsi="宋体" w:eastAsia="宋体" w:cs="宋体"/>
                <w:sz w:val="18"/>
                <w:szCs w:val="18"/>
              </w:rPr>
              <w:t>46.74%</w:t>
            </w:r>
          </w:p>
        </w:tc>
        <w:tc>
          <w:tcPr>
            <w:tcW w:w="626" w:type="pct"/>
            <w:gridSpan w:val="2"/>
            <w:vAlign w:val="center"/>
          </w:tcPr>
          <w:p w14:paraId="34C61657">
            <w:pPr>
              <w:spacing w:before="0" w:after="0" w:line="240" w:lineRule="exact"/>
              <w:jc w:val="right"/>
              <w:rPr>
                <w:rFonts w:ascii="宋体" w:hAnsi="宋体" w:eastAsia="宋体" w:cs="宋体"/>
                <w:sz w:val="18"/>
                <w:szCs w:val="18"/>
              </w:rPr>
            </w:pPr>
            <w:r>
              <w:rPr>
                <w:rFonts w:ascii="宋体" w:hAnsi="宋体" w:eastAsia="宋体" w:cs="宋体"/>
                <w:sz w:val="18"/>
                <w:szCs w:val="18"/>
              </w:rPr>
              <w:t>91,134,905</w:t>
            </w:r>
          </w:p>
        </w:tc>
        <w:tc>
          <w:tcPr>
            <w:tcW w:w="656" w:type="pct"/>
            <w:gridSpan w:val="2"/>
            <w:vAlign w:val="center"/>
          </w:tcPr>
          <w:p w14:paraId="45339BB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501" w:type="pct"/>
            <w:vAlign w:val="center"/>
          </w:tcPr>
          <w:p w14:paraId="29D5564D">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4" w:type="pct"/>
            <w:gridSpan w:val="2"/>
            <w:vAlign w:val="center"/>
          </w:tcPr>
          <w:p w14:paraId="6666116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946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vAlign w:val="center"/>
          </w:tcPr>
          <w:p w14:paraId="435E7CFE">
            <w:pPr>
              <w:spacing w:before="0" w:after="0" w:line="240" w:lineRule="exact"/>
              <w:jc w:val="left"/>
              <w:rPr>
                <w:rFonts w:ascii="宋体" w:hAnsi="宋体" w:eastAsia="宋体" w:cs="宋体"/>
                <w:sz w:val="18"/>
                <w:szCs w:val="18"/>
              </w:rPr>
            </w:pPr>
            <w:r>
              <w:rPr>
                <w:rFonts w:ascii="宋体" w:hAnsi="宋体" w:eastAsia="宋体" w:cs="宋体"/>
                <w:sz w:val="18"/>
                <w:szCs w:val="18"/>
              </w:rPr>
              <w:t>青岛食品股份有限公司未确权股份托管专用证券账户</w:t>
            </w:r>
          </w:p>
        </w:tc>
        <w:tc>
          <w:tcPr>
            <w:tcW w:w="763" w:type="pct"/>
            <w:gridSpan w:val="2"/>
            <w:vAlign w:val="center"/>
          </w:tcPr>
          <w:p w14:paraId="4ECC7353">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623" w:type="pct"/>
            <w:gridSpan w:val="2"/>
            <w:vAlign w:val="center"/>
          </w:tcPr>
          <w:p w14:paraId="75C3C75B">
            <w:pPr>
              <w:spacing w:before="0" w:after="0" w:line="240" w:lineRule="exact"/>
              <w:jc w:val="right"/>
              <w:rPr>
                <w:rFonts w:ascii="宋体" w:hAnsi="宋体" w:eastAsia="宋体" w:cs="宋体"/>
                <w:sz w:val="18"/>
                <w:szCs w:val="18"/>
              </w:rPr>
            </w:pPr>
            <w:r>
              <w:rPr>
                <w:rFonts w:ascii="宋体" w:hAnsi="宋体" w:eastAsia="宋体" w:cs="宋体"/>
                <w:sz w:val="18"/>
                <w:szCs w:val="18"/>
              </w:rPr>
              <w:t>2.49%</w:t>
            </w:r>
          </w:p>
        </w:tc>
        <w:tc>
          <w:tcPr>
            <w:tcW w:w="626" w:type="pct"/>
            <w:gridSpan w:val="2"/>
            <w:vAlign w:val="center"/>
          </w:tcPr>
          <w:p w14:paraId="7737F467">
            <w:pPr>
              <w:spacing w:before="0" w:after="0" w:line="240" w:lineRule="exact"/>
              <w:jc w:val="right"/>
              <w:rPr>
                <w:rFonts w:ascii="宋体" w:hAnsi="宋体" w:eastAsia="宋体" w:cs="宋体"/>
                <w:sz w:val="18"/>
                <w:szCs w:val="18"/>
              </w:rPr>
            </w:pPr>
            <w:r>
              <w:rPr>
                <w:rFonts w:ascii="宋体" w:hAnsi="宋体" w:eastAsia="宋体" w:cs="宋体"/>
                <w:sz w:val="18"/>
                <w:szCs w:val="18"/>
              </w:rPr>
              <w:t>4,861,679</w:t>
            </w:r>
          </w:p>
        </w:tc>
        <w:tc>
          <w:tcPr>
            <w:tcW w:w="656" w:type="pct"/>
            <w:gridSpan w:val="2"/>
            <w:vAlign w:val="center"/>
          </w:tcPr>
          <w:p w14:paraId="156AF073">
            <w:pPr>
              <w:spacing w:before="0" w:after="0" w:line="240" w:lineRule="exact"/>
              <w:jc w:val="right"/>
              <w:rPr>
                <w:rFonts w:ascii="宋体" w:hAnsi="宋体" w:eastAsia="宋体" w:cs="宋体"/>
                <w:sz w:val="18"/>
                <w:szCs w:val="18"/>
              </w:rPr>
            </w:pPr>
            <w:r>
              <w:rPr>
                <w:rFonts w:ascii="宋体" w:hAnsi="宋体" w:eastAsia="宋体" w:cs="宋体"/>
                <w:sz w:val="18"/>
                <w:szCs w:val="18"/>
              </w:rPr>
              <w:t>4,861,679</w:t>
            </w:r>
          </w:p>
        </w:tc>
        <w:tc>
          <w:tcPr>
            <w:tcW w:w="501" w:type="pct"/>
            <w:vAlign w:val="center"/>
          </w:tcPr>
          <w:p w14:paraId="3EC47CD8">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4" w:type="pct"/>
            <w:gridSpan w:val="2"/>
            <w:vAlign w:val="center"/>
          </w:tcPr>
          <w:p w14:paraId="34A3525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75E5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vAlign w:val="center"/>
          </w:tcPr>
          <w:p w14:paraId="2C36B328">
            <w:pPr>
              <w:spacing w:before="0" w:after="0" w:line="240" w:lineRule="exact"/>
              <w:jc w:val="left"/>
              <w:rPr>
                <w:rFonts w:ascii="宋体" w:hAnsi="宋体" w:eastAsia="宋体" w:cs="宋体"/>
                <w:sz w:val="18"/>
                <w:szCs w:val="18"/>
              </w:rPr>
            </w:pPr>
            <w:r>
              <w:rPr>
                <w:rFonts w:ascii="宋体" w:hAnsi="宋体" w:eastAsia="宋体" w:cs="宋体"/>
                <w:sz w:val="18"/>
                <w:szCs w:val="18"/>
              </w:rPr>
              <w:t>深圳市核子基因科技有限公司</w:t>
            </w:r>
          </w:p>
        </w:tc>
        <w:tc>
          <w:tcPr>
            <w:tcW w:w="763" w:type="pct"/>
            <w:gridSpan w:val="2"/>
            <w:vAlign w:val="center"/>
          </w:tcPr>
          <w:p w14:paraId="25E908FA">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623" w:type="pct"/>
            <w:gridSpan w:val="2"/>
            <w:vAlign w:val="center"/>
          </w:tcPr>
          <w:p w14:paraId="1FBA2F7E">
            <w:pPr>
              <w:spacing w:before="0" w:after="0" w:line="240" w:lineRule="exact"/>
              <w:jc w:val="right"/>
              <w:rPr>
                <w:rFonts w:ascii="宋体" w:hAnsi="宋体" w:eastAsia="宋体" w:cs="宋体"/>
                <w:sz w:val="18"/>
                <w:szCs w:val="18"/>
              </w:rPr>
            </w:pPr>
            <w:r>
              <w:rPr>
                <w:rFonts w:ascii="宋体" w:hAnsi="宋体" w:eastAsia="宋体" w:cs="宋体"/>
                <w:sz w:val="18"/>
                <w:szCs w:val="18"/>
              </w:rPr>
              <w:t>1.41%</w:t>
            </w:r>
          </w:p>
        </w:tc>
        <w:tc>
          <w:tcPr>
            <w:tcW w:w="626" w:type="pct"/>
            <w:gridSpan w:val="2"/>
            <w:vAlign w:val="center"/>
          </w:tcPr>
          <w:p w14:paraId="1DF16D25">
            <w:pPr>
              <w:spacing w:before="0" w:after="0" w:line="240" w:lineRule="exact"/>
              <w:jc w:val="right"/>
              <w:rPr>
                <w:rFonts w:ascii="宋体" w:hAnsi="宋体" w:eastAsia="宋体" w:cs="宋体"/>
                <w:sz w:val="18"/>
                <w:szCs w:val="18"/>
              </w:rPr>
            </w:pPr>
            <w:r>
              <w:rPr>
                <w:rFonts w:ascii="宋体" w:hAnsi="宋体" w:eastAsia="宋体" w:cs="宋体"/>
                <w:sz w:val="18"/>
                <w:szCs w:val="18"/>
              </w:rPr>
              <w:t>2,749,856</w:t>
            </w:r>
          </w:p>
        </w:tc>
        <w:tc>
          <w:tcPr>
            <w:tcW w:w="656" w:type="pct"/>
            <w:gridSpan w:val="2"/>
            <w:vAlign w:val="center"/>
          </w:tcPr>
          <w:p w14:paraId="520F98E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501" w:type="pct"/>
            <w:vAlign w:val="center"/>
          </w:tcPr>
          <w:p w14:paraId="10242441">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4" w:type="pct"/>
            <w:gridSpan w:val="2"/>
            <w:vAlign w:val="center"/>
          </w:tcPr>
          <w:p w14:paraId="4A80A68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BC7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vAlign w:val="center"/>
          </w:tcPr>
          <w:p w14:paraId="3814285E">
            <w:pPr>
              <w:spacing w:before="0" w:after="0" w:line="240" w:lineRule="exact"/>
              <w:jc w:val="left"/>
              <w:rPr>
                <w:rFonts w:ascii="宋体" w:hAnsi="宋体" w:eastAsia="宋体" w:cs="宋体"/>
                <w:sz w:val="18"/>
                <w:szCs w:val="18"/>
              </w:rPr>
            </w:pPr>
            <w:r>
              <w:rPr>
                <w:rFonts w:ascii="宋体" w:hAnsi="宋体" w:eastAsia="宋体" w:cs="宋体"/>
                <w:sz w:val="18"/>
                <w:szCs w:val="18"/>
              </w:rPr>
              <w:t>高盛公司有限责任公司</w:t>
            </w:r>
          </w:p>
        </w:tc>
        <w:tc>
          <w:tcPr>
            <w:tcW w:w="763" w:type="pct"/>
            <w:gridSpan w:val="2"/>
            <w:vAlign w:val="center"/>
          </w:tcPr>
          <w:p w14:paraId="54FEF694">
            <w:pPr>
              <w:spacing w:before="0" w:after="0" w:line="240" w:lineRule="exact"/>
              <w:jc w:val="left"/>
              <w:rPr>
                <w:rFonts w:ascii="宋体" w:hAnsi="宋体" w:eastAsia="宋体" w:cs="宋体"/>
                <w:sz w:val="18"/>
                <w:szCs w:val="18"/>
              </w:rPr>
            </w:pPr>
            <w:r>
              <w:rPr>
                <w:rFonts w:ascii="宋体" w:hAnsi="宋体" w:eastAsia="宋体" w:cs="宋体"/>
                <w:sz w:val="18"/>
                <w:szCs w:val="18"/>
              </w:rPr>
              <w:t>境外法人</w:t>
            </w:r>
          </w:p>
        </w:tc>
        <w:tc>
          <w:tcPr>
            <w:tcW w:w="623" w:type="pct"/>
            <w:gridSpan w:val="2"/>
            <w:vAlign w:val="center"/>
          </w:tcPr>
          <w:p w14:paraId="0B290F24">
            <w:pPr>
              <w:spacing w:before="0" w:after="0" w:line="240" w:lineRule="exact"/>
              <w:jc w:val="right"/>
              <w:rPr>
                <w:rFonts w:ascii="宋体" w:hAnsi="宋体" w:eastAsia="宋体" w:cs="宋体"/>
                <w:sz w:val="18"/>
                <w:szCs w:val="18"/>
              </w:rPr>
            </w:pPr>
            <w:r>
              <w:rPr>
                <w:rFonts w:ascii="宋体" w:hAnsi="宋体" w:eastAsia="宋体" w:cs="宋体"/>
                <w:sz w:val="18"/>
                <w:szCs w:val="18"/>
              </w:rPr>
              <w:t>0.86%</w:t>
            </w:r>
          </w:p>
        </w:tc>
        <w:tc>
          <w:tcPr>
            <w:tcW w:w="626" w:type="pct"/>
            <w:gridSpan w:val="2"/>
            <w:vAlign w:val="center"/>
          </w:tcPr>
          <w:p w14:paraId="6CCD25B2">
            <w:pPr>
              <w:spacing w:before="0" w:after="0" w:line="240" w:lineRule="exact"/>
              <w:jc w:val="right"/>
              <w:rPr>
                <w:rFonts w:ascii="宋体" w:hAnsi="宋体" w:eastAsia="宋体" w:cs="宋体"/>
                <w:sz w:val="18"/>
                <w:szCs w:val="18"/>
              </w:rPr>
            </w:pPr>
            <w:r>
              <w:rPr>
                <w:rFonts w:ascii="宋体" w:hAnsi="宋体" w:eastAsia="宋体" w:cs="宋体"/>
                <w:sz w:val="18"/>
                <w:szCs w:val="18"/>
              </w:rPr>
              <w:t>1,678,029</w:t>
            </w:r>
          </w:p>
        </w:tc>
        <w:tc>
          <w:tcPr>
            <w:tcW w:w="656" w:type="pct"/>
            <w:gridSpan w:val="2"/>
            <w:vAlign w:val="center"/>
          </w:tcPr>
          <w:p w14:paraId="0C08F14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501" w:type="pct"/>
            <w:vAlign w:val="center"/>
          </w:tcPr>
          <w:p w14:paraId="1CA4E644">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4" w:type="pct"/>
            <w:gridSpan w:val="2"/>
            <w:vAlign w:val="center"/>
          </w:tcPr>
          <w:p w14:paraId="3C41FA5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E0B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vAlign w:val="center"/>
          </w:tcPr>
          <w:p w14:paraId="78CD9F43">
            <w:pPr>
              <w:spacing w:before="0" w:after="0" w:line="240" w:lineRule="exact"/>
              <w:jc w:val="left"/>
              <w:rPr>
                <w:rFonts w:ascii="宋体" w:hAnsi="宋体" w:eastAsia="宋体" w:cs="宋体"/>
                <w:sz w:val="18"/>
                <w:szCs w:val="18"/>
              </w:rPr>
            </w:pPr>
            <w:r>
              <w:rPr>
                <w:rFonts w:ascii="宋体" w:hAnsi="宋体" w:eastAsia="宋体" w:cs="宋体"/>
                <w:sz w:val="18"/>
                <w:szCs w:val="18"/>
              </w:rPr>
              <w:t>刘英</w:t>
            </w:r>
          </w:p>
        </w:tc>
        <w:tc>
          <w:tcPr>
            <w:tcW w:w="763" w:type="pct"/>
            <w:gridSpan w:val="2"/>
            <w:vAlign w:val="center"/>
          </w:tcPr>
          <w:p w14:paraId="4EE08285">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623" w:type="pct"/>
            <w:gridSpan w:val="2"/>
            <w:vAlign w:val="center"/>
          </w:tcPr>
          <w:p w14:paraId="32FA9B9D">
            <w:pPr>
              <w:spacing w:before="0" w:after="0" w:line="240" w:lineRule="exact"/>
              <w:jc w:val="right"/>
              <w:rPr>
                <w:rFonts w:ascii="宋体" w:hAnsi="宋体" w:eastAsia="宋体" w:cs="宋体"/>
                <w:sz w:val="18"/>
                <w:szCs w:val="18"/>
              </w:rPr>
            </w:pPr>
            <w:r>
              <w:rPr>
                <w:rFonts w:ascii="宋体" w:hAnsi="宋体" w:eastAsia="宋体" w:cs="宋体"/>
                <w:sz w:val="18"/>
                <w:szCs w:val="18"/>
              </w:rPr>
              <w:t>0.77%</w:t>
            </w:r>
          </w:p>
        </w:tc>
        <w:tc>
          <w:tcPr>
            <w:tcW w:w="626" w:type="pct"/>
            <w:gridSpan w:val="2"/>
            <w:vAlign w:val="center"/>
          </w:tcPr>
          <w:p w14:paraId="5875FFD7">
            <w:pPr>
              <w:spacing w:before="0" w:after="0" w:line="240" w:lineRule="exact"/>
              <w:jc w:val="right"/>
              <w:rPr>
                <w:rFonts w:ascii="宋体" w:hAnsi="宋体" w:eastAsia="宋体" w:cs="宋体"/>
                <w:sz w:val="18"/>
                <w:szCs w:val="18"/>
              </w:rPr>
            </w:pPr>
            <w:r>
              <w:rPr>
                <w:rFonts w:ascii="宋体" w:hAnsi="宋体" w:eastAsia="宋体" w:cs="宋体"/>
                <w:sz w:val="18"/>
                <w:szCs w:val="18"/>
              </w:rPr>
              <w:t>1,500,000</w:t>
            </w:r>
          </w:p>
        </w:tc>
        <w:tc>
          <w:tcPr>
            <w:tcW w:w="656" w:type="pct"/>
            <w:gridSpan w:val="2"/>
            <w:vAlign w:val="center"/>
          </w:tcPr>
          <w:p w14:paraId="12EE217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501" w:type="pct"/>
            <w:vAlign w:val="center"/>
          </w:tcPr>
          <w:p w14:paraId="338ED064">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4" w:type="pct"/>
            <w:gridSpan w:val="2"/>
            <w:vAlign w:val="center"/>
          </w:tcPr>
          <w:p w14:paraId="0D8DA99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D44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vAlign w:val="center"/>
          </w:tcPr>
          <w:p w14:paraId="642C7A97">
            <w:pPr>
              <w:spacing w:before="0" w:after="0" w:line="240" w:lineRule="exact"/>
              <w:jc w:val="left"/>
              <w:rPr>
                <w:rFonts w:ascii="宋体" w:hAnsi="宋体" w:eastAsia="宋体" w:cs="宋体"/>
                <w:sz w:val="18"/>
                <w:szCs w:val="18"/>
              </w:rPr>
            </w:pPr>
            <w:r>
              <w:rPr>
                <w:rFonts w:ascii="宋体" w:hAnsi="宋体" w:eastAsia="宋体" w:cs="宋体"/>
                <w:sz w:val="18"/>
                <w:szCs w:val="18"/>
              </w:rPr>
              <w:t>王莉</w:t>
            </w:r>
          </w:p>
        </w:tc>
        <w:tc>
          <w:tcPr>
            <w:tcW w:w="763" w:type="pct"/>
            <w:gridSpan w:val="2"/>
            <w:vAlign w:val="center"/>
          </w:tcPr>
          <w:p w14:paraId="3AF0EE0E">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623" w:type="pct"/>
            <w:gridSpan w:val="2"/>
            <w:vAlign w:val="center"/>
          </w:tcPr>
          <w:p w14:paraId="3B087860">
            <w:pPr>
              <w:spacing w:before="0" w:after="0" w:line="240" w:lineRule="exact"/>
              <w:jc w:val="right"/>
              <w:rPr>
                <w:rFonts w:ascii="宋体" w:hAnsi="宋体" w:eastAsia="宋体" w:cs="宋体"/>
                <w:sz w:val="18"/>
                <w:szCs w:val="18"/>
              </w:rPr>
            </w:pPr>
            <w:r>
              <w:rPr>
                <w:rFonts w:ascii="宋体" w:hAnsi="宋体" w:eastAsia="宋体" w:cs="宋体"/>
                <w:sz w:val="18"/>
                <w:szCs w:val="18"/>
              </w:rPr>
              <w:t>0.74%</w:t>
            </w:r>
          </w:p>
        </w:tc>
        <w:tc>
          <w:tcPr>
            <w:tcW w:w="626" w:type="pct"/>
            <w:gridSpan w:val="2"/>
            <w:vAlign w:val="center"/>
          </w:tcPr>
          <w:p w14:paraId="195FAA9A">
            <w:pPr>
              <w:spacing w:before="0" w:after="0" w:line="240" w:lineRule="exact"/>
              <w:jc w:val="right"/>
              <w:rPr>
                <w:rFonts w:ascii="宋体" w:hAnsi="宋体" w:eastAsia="宋体" w:cs="宋体"/>
                <w:sz w:val="18"/>
                <w:szCs w:val="18"/>
              </w:rPr>
            </w:pPr>
            <w:r>
              <w:rPr>
                <w:rFonts w:ascii="宋体" w:hAnsi="宋体" w:eastAsia="宋体" w:cs="宋体"/>
                <w:sz w:val="18"/>
                <w:szCs w:val="18"/>
              </w:rPr>
              <w:t>1,450,272</w:t>
            </w:r>
          </w:p>
        </w:tc>
        <w:tc>
          <w:tcPr>
            <w:tcW w:w="656" w:type="pct"/>
            <w:gridSpan w:val="2"/>
            <w:vAlign w:val="center"/>
          </w:tcPr>
          <w:p w14:paraId="34A997C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501" w:type="pct"/>
            <w:vAlign w:val="center"/>
          </w:tcPr>
          <w:p w14:paraId="3A0D2DA9">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4" w:type="pct"/>
            <w:gridSpan w:val="2"/>
            <w:vAlign w:val="center"/>
          </w:tcPr>
          <w:p w14:paraId="6EC4297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6EF9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vAlign w:val="center"/>
          </w:tcPr>
          <w:p w14:paraId="150E6221">
            <w:pPr>
              <w:spacing w:before="0" w:after="0" w:line="240" w:lineRule="exact"/>
              <w:jc w:val="left"/>
              <w:rPr>
                <w:rFonts w:ascii="宋体" w:hAnsi="宋体" w:eastAsia="宋体" w:cs="宋体"/>
                <w:sz w:val="18"/>
                <w:szCs w:val="18"/>
              </w:rPr>
            </w:pPr>
            <w:r>
              <w:rPr>
                <w:rFonts w:ascii="宋体" w:hAnsi="宋体" w:eastAsia="宋体" w:cs="宋体"/>
                <w:sz w:val="18"/>
                <w:szCs w:val="18"/>
              </w:rPr>
              <w:t>张莉</w:t>
            </w:r>
          </w:p>
        </w:tc>
        <w:tc>
          <w:tcPr>
            <w:tcW w:w="763" w:type="pct"/>
            <w:gridSpan w:val="2"/>
            <w:vAlign w:val="center"/>
          </w:tcPr>
          <w:p w14:paraId="18457F23">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623" w:type="pct"/>
            <w:gridSpan w:val="2"/>
            <w:vAlign w:val="center"/>
          </w:tcPr>
          <w:p w14:paraId="4FEFBAB3">
            <w:pPr>
              <w:spacing w:before="0" w:after="0" w:line="240" w:lineRule="exact"/>
              <w:jc w:val="right"/>
              <w:rPr>
                <w:rFonts w:ascii="宋体" w:hAnsi="宋体" w:eastAsia="宋体" w:cs="宋体"/>
                <w:sz w:val="18"/>
                <w:szCs w:val="18"/>
              </w:rPr>
            </w:pPr>
            <w:r>
              <w:rPr>
                <w:rFonts w:ascii="宋体" w:hAnsi="宋体" w:eastAsia="宋体" w:cs="宋体"/>
                <w:sz w:val="18"/>
                <w:szCs w:val="18"/>
              </w:rPr>
              <w:t>0.72%</w:t>
            </w:r>
          </w:p>
        </w:tc>
        <w:tc>
          <w:tcPr>
            <w:tcW w:w="626" w:type="pct"/>
            <w:gridSpan w:val="2"/>
            <w:vAlign w:val="center"/>
          </w:tcPr>
          <w:p w14:paraId="78EE0BD1">
            <w:pPr>
              <w:spacing w:before="0" w:after="0" w:line="240" w:lineRule="exact"/>
              <w:jc w:val="right"/>
              <w:rPr>
                <w:rFonts w:ascii="宋体" w:hAnsi="宋体" w:eastAsia="宋体" w:cs="宋体"/>
                <w:sz w:val="18"/>
                <w:szCs w:val="18"/>
              </w:rPr>
            </w:pPr>
            <w:r>
              <w:rPr>
                <w:rFonts w:ascii="宋体" w:hAnsi="宋体" w:eastAsia="宋体" w:cs="宋体"/>
                <w:sz w:val="18"/>
                <w:szCs w:val="18"/>
              </w:rPr>
              <w:t>1,400,000</w:t>
            </w:r>
          </w:p>
        </w:tc>
        <w:tc>
          <w:tcPr>
            <w:tcW w:w="656" w:type="pct"/>
            <w:gridSpan w:val="2"/>
            <w:vAlign w:val="center"/>
          </w:tcPr>
          <w:p w14:paraId="046B62C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501" w:type="pct"/>
            <w:vAlign w:val="center"/>
          </w:tcPr>
          <w:p w14:paraId="6BDF054E">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4" w:type="pct"/>
            <w:gridSpan w:val="2"/>
            <w:vAlign w:val="center"/>
          </w:tcPr>
          <w:p w14:paraId="3362EA8E">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3CB1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vAlign w:val="center"/>
          </w:tcPr>
          <w:p w14:paraId="0320C5BB">
            <w:pPr>
              <w:spacing w:before="0" w:after="0" w:line="240" w:lineRule="exact"/>
              <w:jc w:val="left"/>
              <w:rPr>
                <w:rFonts w:ascii="宋体" w:hAnsi="宋体" w:eastAsia="宋体" w:cs="宋体"/>
                <w:sz w:val="18"/>
                <w:szCs w:val="18"/>
              </w:rPr>
            </w:pPr>
            <w:r>
              <w:rPr>
                <w:rFonts w:ascii="宋体" w:hAnsi="宋体" w:eastAsia="宋体" w:cs="宋体"/>
                <w:sz w:val="18"/>
                <w:szCs w:val="18"/>
              </w:rPr>
              <w:t>金飚</w:t>
            </w:r>
          </w:p>
        </w:tc>
        <w:tc>
          <w:tcPr>
            <w:tcW w:w="763" w:type="pct"/>
            <w:gridSpan w:val="2"/>
            <w:vAlign w:val="center"/>
          </w:tcPr>
          <w:p w14:paraId="315911CB">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623" w:type="pct"/>
            <w:gridSpan w:val="2"/>
            <w:vAlign w:val="center"/>
          </w:tcPr>
          <w:p w14:paraId="1093D578">
            <w:pPr>
              <w:spacing w:before="0" w:after="0" w:line="240" w:lineRule="exact"/>
              <w:jc w:val="right"/>
              <w:rPr>
                <w:rFonts w:ascii="宋体" w:hAnsi="宋体" w:eastAsia="宋体" w:cs="宋体"/>
                <w:sz w:val="18"/>
                <w:szCs w:val="18"/>
              </w:rPr>
            </w:pPr>
            <w:r>
              <w:rPr>
                <w:rFonts w:ascii="宋体" w:hAnsi="宋体" w:eastAsia="宋体" w:cs="宋体"/>
                <w:sz w:val="18"/>
                <w:szCs w:val="18"/>
              </w:rPr>
              <w:t>0.64%</w:t>
            </w:r>
          </w:p>
        </w:tc>
        <w:tc>
          <w:tcPr>
            <w:tcW w:w="626" w:type="pct"/>
            <w:gridSpan w:val="2"/>
            <w:vAlign w:val="center"/>
          </w:tcPr>
          <w:p w14:paraId="062E7972">
            <w:pPr>
              <w:spacing w:before="0" w:after="0" w:line="240" w:lineRule="exact"/>
              <w:jc w:val="right"/>
              <w:rPr>
                <w:rFonts w:ascii="宋体" w:hAnsi="宋体" w:eastAsia="宋体" w:cs="宋体"/>
                <w:sz w:val="18"/>
                <w:szCs w:val="18"/>
              </w:rPr>
            </w:pPr>
            <w:r>
              <w:rPr>
                <w:rFonts w:ascii="宋体" w:hAnsi="宋体" w:eastAsia="宋体" w:cs="宋体"/>
                <w:sz w:val="18"/>
                <w:szCs w:val="18"/>
              </w:rPr>
              <w:t>1,244,500</w:t>
            </w:r>
          </w:p>
        </w:tc>
        <w:tc>
          <w:tcPr>
            <w:tcW w:w="656" w:type="pct"/>
            <w:gridSpan w:val="2"/>
            <w:vAlign w:val="center"/>
          </w:tcPr>
          <w:p w14:paraId="296BF95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501" w:type="pct"/>
            <w:vAlign w:val="center"/>
          </w:tcPr>
          <w:p w14:paraId="68854C74">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4" w:type="pct"/>
            <w:gridSpan w:val="2"/>
            <w:vAlign w:val="center"/>
          </w:tcPr>
          <w:p w14:paraId="4E8A3DF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468B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vAlign w:val="center"/>
          </w:tcPr>
          <w:p w14:paraId="5E0715D0">
            <w:pPr>
              <w:spacing w:before="0" w:after="0" w:line="240" w:lineRule="exact"/>
              <w:jc w:val="left"/>
              <w:rPr>
                <w:rFonts w:ascii="宋体" w:hAnsi="宋体" w:eastAsia="宋体" w:cs="宋体"/>
                <w:sz w:val="18"/>
                <w:szCs w:val="18"/>
              </w:rPr>
            </w:pPr>
            <w:r>
              <w:rPr>
                <w:rFonts w:ascii="宋体" w:hAnsi="宋体" w:eastAsia="宋体" w:cs="宋体"/>
                <w:sz w:val="18"/>
                <w:szCs w:val="18"/>
              </w:rPr>
              <w:t>金明娟</w:t>
            </w:r>
          </w:p>
        </w:tc>
        <w:tc>
          <w:tcPr>
            <w:tcW w:w="763" w:type="pct"/>
            <w:gridSpan w:val="2"/>
            <w:vAlign w:val="center"/>
          </w:tcPr>
          <w:p w14:paraId="26483017">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623" w:type="pct"/>
            <w:gridSpan w:val="2"/>
            <w:vAlign w:val="center"/>
          </w:tcPr>
          <w:p w14:paraId="1B0CF135">
            <w:pPr>
              <w:spacing w:before="0" w:after="0" w:line="240" w:lineRule="exact"/>
              <w:jc w:val="right"/>
              <w:rPr>
                <w:rFonts w:ascii="宋体" w:hAnsi="宋体" w:eastAsia="宋体" w:cs="宋体"/>
                <w:sz w:val="18"/>
                <w:szCs w:val="18"/>
              </w:rPr>
            </w:pPr>
            <w:r>
              <w:rPr>
                <w:rFonts w:ascii="宋体" w:hAnsi="宋体" w:eastAsia="宋体" w:cs="宋体"/>
                <w:sz w:val="18"/>
                <w:szCs w:val="18"/>
              </w:rPr>
              <w:t>0.57%</w:t>
            </w:r>
          </w:p>
        </w:tc>
        <w:tc>
          <w:tcPr>
            <w:tcW w:w="626" w:type="pct"/>
            <w:gridSpan w:val="2"/>
            <w:vAlign w:val="center"/>
          </w:tcPr>
          <w:p w14:paraId="3F2AC555">
            <w:pPr>
              <w:spacing w:before="0" w:after="0" w:line="240" w:lineRule="exact"/>
              <w:jc w:val="right"/>
              <w:rPr>
                <w:rFonts w:ascii="宋体" w:hAnsi="宋体" w:eastAsia="宋体" w:cs="宋体"/>
                <w:sz w:val="18"/>
                <w:szCs w:val="18"/>
              </w:rPr>
            </w:pPr>
            <w:r>
              <w:rPr>
                <w:rFonts w:ascii="宋体" w:hAnsi="宋体" w:eastAsia="宋体" w:cs="宋体"/>
                <w:sz w:val="18"/>
                <w:szCs w:val="18"/>
              </w:rPr>
              <w:t>1,114,238</w:t>
            </w:r>
          </w:p>
        </w:tc>
        <w:tc>
          <w:tcPr>
            <w:tcW w:w="656" w:type="pct"/>
            <w:gridSpan w:val="2"/>
            <w:vAlign w:val="center"/>
          </w:tcPr>
          <w:p w14:paraId="47E4BC8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501" w:type="pct"/>
            <w:vAlign w:val="center"/>
          </w:tcPr>
          <w:p w14:paraId="659B7F5F">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4" w:type="pct"/>
            <w:gridSpan w:val="2"/>
            <w:vAlign w:val="center"/>
          </w:tcPr>
          <w:p w14:paraId="3E07866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57B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vAlign w:val="center"/>
          </w:tcPr>
          <w:p w14:paraId="68D25B50">
            <w:pPr>
              <w:spacing w:before="0" w:after="0" w:line="240" w:lineRule="exact"/>
              <w:jc w:val="left"/>
              <w:rPr>
                <w:rFonts w:ascii="宋体" w:hAnsi="宋体" w:eastAsia="宋体" w:cs="宋体"/>
                <w:sz w:val="18"/>
                <w:szCs w:val="18"/>
              </w:rPr>
            </w:pPr>
            <w:r>
              <w:rPr>
                <w:rFonts w:ascii="宋体" w:hAnsi="宋体" w:eastAsia="宋体" w:cs="宋体"/>
                <w:sz w:val="18"/>
                <w:szCs w:val="18"/>
              </w:rPr>
              <w:t>中国建设银行股份有限公司－诺安多策略混合型证券投资基金</w:t>
            </w:r>
          </w:p>
        </w:tc>
        <w:tc>
          <w:tcPr>
            <w:tcW w:w="763" w:type="pct"/>
            <w:gridSpan w:val="2"/>
            <w:vAlign w:val="center"/>
          </w:tcPr>
          <w:p w14:paraId="0D4C1332">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623" w:type="pct"/>
            <w:gridSpan w:val="2"/>
            <w:vAlign w:val="center"/>
          </w:tcPr>
          <w:p w14:paraId="302FB4AB">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626" w:type="pct"/>
            <w:gridSpan w:val="2"/>
            <w:vAlign w:val="center"/>
          </w:tcPr>
          <w:p w14:paraId="7A4B936D">
            <w:pPr>
              <w:spacing w:before="0" w:after="0" w:line="240" w:lineRule="exact"/>
              <w:jc w:val="right"/>
              <w:rPr>
                <w:rFonts w:ascii="宋体" w:hAnsi="宋体" w:eastAsia="宋体" w:cs="宋体"/>
                <w:sz w:val="18"/>
                <w:szCs w:val="18"/>
              </w:rPr>
            </w:pPr>
            <w:r>
              <w:rPr>
                <w:rFonts w:ascii="宋体" w:hAnsi="宋体" w:eastAsia="宋体" w:cs="宋体"/>
                <w:sz w:val="18"/>
                <w:szCs w:val="18"/>
              </w:rPr>
              <w:t>939,278</w:t>
            </w:r>
          </w:p>
        </w:tc>
        <w:tc>
          <w:tcPr>
            <w:tcW w:w="656" w:type="pct"/>
            <w:gridSpan w:val="2"/>
            <w:vAlign w:val="center"/>
          </w:tcPr>
          <w:p w14:paraId="1A062F0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501" w:type="pct"/>
            <w:vAlign w:val="center"/>
          </w:tcPr>
          <w:p w14:paraId="165B35E4">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4" w:type="pct"/>
            <w:gridSpan w:val="2"/>
            <w:vAlign w:val="center"/>
          </w:tcPr>
          <w:p w14:paraId="6892E49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74E4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shd w:val="clear" w:color="auto" w:fill="D3D3D3"/>
            <w:vAlign w:val="center"/>
          </w:tcPr>
          <w:p w14:paraId="2A81EB98">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3736" w:type="pct"/>
            <w:gridSpan w:val="11"/>
            <w:vAlign w:val="center"/>
          </w:tcPr>
          <w:p w14:paraId="25E19296">
            <w:pPr>
              <w:spacing w:before="0" w:after="0" w:line="24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青岛华通国有资本投资运营集团有限公司系公司控股股东、实际控制人，持有公司46.74%的股份。除此之外，公司未知上述其他股东之间是否存在关联关系，是否属于一致行动人</w:t>
            </w:r>
            <w:r>
              <w:rPr>
                <w:rFonts w:hint="eastAsia" w:ascii="宋体" w:hAnsi="宋体" w:cs="宋体"/>
                <w:sz w:val="18"/>
                <w:szCs w:val="18"/>
                <w:lang w:val="en-US" w:eastAsia="zh-CN"/>
              </w:rPr>
              <w:t>关系</w:t>
            </w:r>
            <w:r>
              <w:rPr>
                <w:rFonts w:ascii="宋体" w:hAnsi="宋体" w:eastAsia="宋体" w:cs="宋体"/>
                <w:sz w:val="18"/>
                <w:szCs w:val="18"/>
              </w:rPr>
              <w:t>。</w:t>
            </w:r>
          </w:p>
        </w:tc>
      </w:tr>
      <w:tr w14:paraId="7FE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63" w:type="pct"/>
            <w:gridSpan w:val="3"/>
            <w:shd w:val="clear" w:color="auto" w:fill="D3D3D3"/>
            <w:vAlign w:val="center"/>
          </w:tcPr>
          <w:p w14:paraId="2A83C1F5">
            <w:pPr>
              <w:spacing w:before="40" w:after="40" w:line="240" w:lineRule="exact"/>
              <w:jc w:val="left"/>
              <w:rPr>
                <w:rFonts w:ascii="宋体" w:hAnsi="宋体" w:eastAsia="宋体" w:cs="宋体"/>
                <w:sz w:val="18"/>
                <w:szCs w:val="18"/>
              </w:rPr>
            </w:pPr>
            <w:r>
              <w:rPr>
                <w:rFonts w:ascii="宋体" w:hAnsi="宋体" w:eastAsia="宋体" w:cs="宋体"/>
                <w:sz w:val="18"/>
                <w:szCs w:val="18"/>
              </w:rPr>
              <w:t>参与融资融券业务股东情况说明（如有）</w:t>
            </w:r>
          </w:p>
        </w:tc>
        <w:tc>
          <w:tcPr>
            <w:tcW w:w="3736" w:type="pct"/>
            <w:gridSpan w:val="11"/>
            <w:vAlign w:val="center"/>
          </w:tcPr>
          <w:p w14:paraId="01888573">
            <w:pPr>
              <w:spacing w:before="0" w:after="0" w:line="240" w:lineRule="exact"/>
              <w:jc w:val="left"/>
              <w:rPr>
                <w:rFonts w:ascii="宋体" w:hAnsi="宋体" w:eastAsia="宋体" w:cs="宋体"/>
                <w:sz w:val="18"/>
                <w:szCs w:val="18"/>
              </w:rPr>
            </w:pPr>
            <w:r>
              <w:rPr>
                <w:rFonts w:ascii="宋体" w:hAnsi="宋体" w:eastAsia="宋体" w:cs="宋体"/>
                <w:sz w:val="18"/>
                <w:szCs w:val="18"/>
              </w:rPr>
              <w:t>刘英通过普通证券账户持有500,000股，通过信用交易担保证券账户持有1,000,000股。</w:t>
            </w:r>
          </w:p>
        </w:tc>
      </w:tr>
    </w:tbl>
    <w:p w14:paraId="2D3A8BF4">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14:paraId="3EC68D70">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7CA4856">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14:paraId="249FD156">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477F3EB">
      <w:pPr>
        <w:keepNext/>
        <w:keepLines/>
        <w:pageBreakBefore w:val="0"/>
        <w:widowControl w:val="0"/>
        <w:kinsoku/>
        <w:wordWrap/>
        <w:overflowPunct/>
        <w:topLinePunct w:val="0"/>
        <w:autoSpaceDE/>
        <w:autoSpaceDN/>
        <w:bidi w:val="0"/>
        <w:adjustRightInd/>
        <w:snapToGrid/>
        <w:spacing w:before="100" w:after="200" w:line="280" w:lineRule="exact"/>
        <w:jc w:val="left"/>
        <w:textAlignment w:val="auto"/>
        <w:outlineLvl w:val="3"/>
        <w:rPr>
          <w:rFonts w:ascii="宋体" w:hAnsi="宋体" w:eastAsia="宋体" w:cs="宋体"/>
          <w:b/>
          <w:bCs/>
          <w:sz w:val="18"/>
          <w:szCs w:val="18"/>
        </w:rPr>
      </w:pPr>
      <w:bookmarkStart w:id="9" w:name="_Toc988898"/>
      <w:r>
        <w:rPr>
          <w:rFonts w:ascii="宋体" w:hAnsi="宋体" w:eastAsia="宋体" w:cs="宋体"/>
          <w:b/>
          <w:bCs/>
          <w:sz w:val="18"/>
          <w:szCs w:val="18"/>
        </w:rPr>
        <w:t>（2）公司优先股股东总数及前10名优先股股东持股情况表</w:t>
      </w:r>
      <w:bookmarkEnd w:id="9"/>
    </w:p>
    <w:p w14:paraId="371EE64E">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EF0FC28">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公司报告期无优先股股东持股情况。</w:t>
      </w:r>
    </w:p>
    <w:p w14:paraId="48A6C216">
      <w:pPr>
        <w:keepNext/>
        <w:keepLines/>
        <w:pageBreakBefore w:val="0"/>
        <w:widowControl w:val="0"/>
        <w:kinsoku/>
        <w:wordWrap/>
        <w:overflowPunct/>
        <w:topLinePunct w:val="0"/>
        <w:autoSpaceDE/>
        <w:autoSpaceDN/>
        <w:bidi w:val="0"/>
        <w:adjustRightInd/>
        <w:snapToGrid/>
        <w:spacing w:before="100" w:after="200" w:line="280" w:lineRule="exact"/>
        <w:jc w:val="left"/>
        <w:textAlignment w:val="auto"/>
        <w:outlineLvl w:val="3"/>
        <w:rPr>
          <w:rFonts w:ascii="宋体" w:hAnsi="宋体" w:eastAsia="宋体" w:cs="宋体"/>
          <w:b/>
          <w:bCs/>
          <w:sz w:val="18"/>
          <w:szCs w:val="18"/>
        </w:rPr>
      </w:pPr>
      <w:bookmarkStart w:id="10" w:name="_Toc988899"/>
      <w:r>
        <w:rPr>
          <w:rFonts w:ascii="宋体" w:hAnsi="宋体" w:eastAsia="宋体" w:cs="宋体"/>
          <w:b/>
          <w:bCs/>
          <w:sz w:val="18"/>
          <w:szCs w:val="18"/>
        </w:rPr>
        <w:t>（3）以方框图形式披露公司与实际控制人之间的产权及控制关系</w:t>
      </w:r>
      <w:bookmarkEnd w:id="10"/>
    </w:p>
    <w:p w14:paraId="666D36A7">
      <w:pPr>
        <w:spacing w:before="40" w:after="40" w:line="0" w:lineRule="exact"/>
        <w:jc w:val="center"/>
        <w:rPr>
          <w:rFonts w:ascii="Times New Roman" w:hAnsi="Times New Roman" w:eastAsia="宋体" w:cs="Times New Roman"/>
        </w:rPr>
      </w:pPr>
      <w:r>
        <w:rPr>
          <w:rFonts w:ascii="Times New Roman" w:hAnsi="Times New Roman" w:eastAsia="宋体" w:cs="Times New Roman"/>
        </w:rPr>
        <w:drawing>
          <wp:inline distT="0" distB="0" distL="0" distR="0">
            <wp:extent cx="3070860" cy="1848485"/>
            <wp:effectExtent l="0" t="0" r="1524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stretch>
                      <a:fillRect/>
                    </a:stretch>
                  </pic:blipFill>
                  <pic:spPr>
                    <a:xfrm>
                      <a:off x="0" y="0"/>
                      <a:ext cx="3070860" cy="1848485"/>
                    </a:xfrm>
                    <a:prstGeom prst="rect">
                      <a:avLst/>
                    </a:prstGeom>
                  </pic:spPr>
                </pic:pic>
              </a:graphicData>
            </a:graphic>
          </wp:inline>
        </w:drawing>
      </w:r>
    </w:p>
    <w:p w14:paraId="2CC4EAD7">
      <w:pPr>
        <w:pStyle w:val="3"/>
        <w:keepNext/>
        <w:keepLines/>
        <w:pageBreakBefore w:val="0"/>
        <w:widowControl w:val="0"/>
        <w:kinsoku/>
        <w:wordWrap/>
        <w:overflowPunct/>
        <w:topLinePunct w:val="0"/>
        <w:autoSpaceDE/>
        <w:autoSpaceDN/>
        <w:bidi w:val="0"/>
        <w:adjustRightInd/>
        <w:snapToGrid/>
        <w:spacing w:before="100" w:after="200" w:line="280" w:lineRule="exact"/>
        <w:jc w:val="left"/>
        <w:textAlignment w:val="auto"/>
        <w:outlineLvl w:val="2"/>
        <w:rPr>
          <w:rFonts w:ascii="宋体" w:hAnsi="宋体" w:eastAsia="宋体" w:cs="宋体"/>
          <w:b/>
          <w:bCs/>
          <w:sz w:val="21"/>
          <w:szCs w:val="21"/>
        </w:rPr>
      </w:pPr>
      <w:bookmarkStart w:id="11" w:name="_Toc988900"/>
      <w:r>
        <w:rPr>
          <w:rFonts w:ascii="宋体" w:hAnsi="宋体" w:eastAsia="宋体" w:cs="宋体"/>
          <w:b/>
          <w:bCs/>
          <w:sz w:val="21"/>
          <w:szCs w:val="21"/>
        </w:rPr>
        <w:t>5、在年度报告批准报出日存续的债券情况</w:t>
      </w:r>
      <w:bookmarkEnd w:id="11"/>
    </w:p>
    <w:p w14:paraId="5900DF1B">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A68FA0E">
      <w:pPr>
        <w:pStyle w:val="2"/>
        <w:keepNext/>
        <w:keepLines/>
        <w:pageBreakBefore w:val="0"/>
        <w:widowControl w:val="0"/>
        <w:kinsoku/>
        <w:wordWrap/>
        <w:overflowPunct/>
        <w:topLinePunct w:val="0"/>
        <w:autoSpaceDE/>
        <w:autoSpaceDN/>
        <w:bidi w:val="0"/>
        <w:adjustRightInd/>
        <w:snapToGrid/>
        <w:spacing w:before="100" w:after="200" w:line="320" w:lineRule="exact"/>
        <w:jc w:val="left"/>
        <w:textAlignment w:val="auto"/>
        <w:outlineLvl w:val="1"/>
        <w:rPr>
          <w:rFonts w:ascii="宋体" w:hAnsi="宋体" w:eastAsia="宋体" w:cs="宋体"/>
          <w:b/>
          <w:bCs/>
          <w:sz w:val="24"/>
          <w:szCs w:val="24"/>
        </w:rPr>
      </w:pPr>
      <w:bookmarkStart w:id="12" w:name="_Toc988901"/>
      <w:r>
        <w:rPr>
          <w:rFonts w:ascii="宋体" w:hAnsi="宋体" w:eastAsia="宋体" w:cs="宋体"/>
          <w:b/>
          <w:bCs/>
          <w:sz w:val="24"/>
          <w:szCs w:val="24"/>
        </w:rPr>
        <w:t>三、重要事项</w:t>
      </w:r>
      <w:bookmarkEnd w:id="12"/>
    </w:p>
    <w:p w14:paraId="67E389C7">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default" w:ascii="宋体" w:hAnsi="宋体" w:eastAsia="宋体" w:cs="宋体"/>
          <w:sz w:val="18"/>
          <w:szCs w:val="18"/>
        </w:rPr>
      </w:pPr>
      <w:r>
        <w:rPr>
          <w:rFonts w:hint="eastAsia" w:ascii="宋体" w:hAnsi="宋体" w:eastAsia="宋体" w:cs="宋体"/>
          <w:sz w:val="18"/>
          <w:szCs w:val="18"/>
        </w:rPr>
        <w:t>（一）合资公司成立</w:t>
      </w:r>
    </w:p>
    <w:p w14:paraId="1FB4F7BA">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default" w:ascii="宋体" w:hAnsi="宋体" w:eastAsia="宋体" w:cs="宋体"/>
          <w:sz w:val="18"/>
          <w:szCs w:val="18"/>
        </w:rPr>
      </w:pPr>
      <w:r>
        <w:rPr>
          <w:rFonts w:hint="eastAsia" w:ascii="宋体" w:hAnsi="宋体" w:eastAsia="宋体" w:cs="宋体"/>
          <w:sz w:val="18"/>
          <w:szCs w:val="18"/>
        </w:rPr>
        <w:t>公司于2025年6月27日召开的第十一届董事会战略与ESG委员会第一次会议，并于2025年6月30日提交董事长办公会议，审议通过了《关于公司拟投资新设合资公司的议案》，拟与青岛汇泉海洋科技开发有限公司（以下简称“汇泉公司”）成立合资公司，合资公司注册资本为人民币1,000万元，其中公司以自有资金认缴合计510万元，占合资公司注册资本51.00%，汇泉公司以自有资金认缴合计490万元，占合资公司注册资本49.00%，合资公司设立后将纳入公司合并报表范围，成为公司的控股子公司。本次对外投资事项在公司董事长审批权限内，无需提交董事会、股东会审议。</w:t>
      </w:r>
    </w:p>
    <w:p w14:paraId="2543FDE2">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default" w:ascii="宋体" w:hAnsi="宋体" w:eastAsia="宋体" w:cs="宋体"/>
          <w:sz w:val="18"/>
          <w:szCs w:val="18"/>
        </w:rPr>
      </w:pPr>
      <w:r>
        <w:rPr>
          <w:rFonts w:hint="eastAsia" w:ascii="宋体" w:hAnsi="宋体" w:eastAsia="宋体" w:cs="宋体"/>
          <w:sz w:val="18"/>
          <w:szCs w:val="18"/>
        </w:rPr>
        <w:t>公司与汇泉公司同意首期实缴出资300万元，按照双方认缴出资额比例进行出资，即公司首期实缴出资为153万元，汇泉公司首期实缴出资为147万元，合资公司成立后主营业务为销售海洋休闲产品、青岛伴手礼等预包装休闲食品及青岛特色旅游文创产品。</w:t>
      </w:r>
    </w:p>
    <w:p w14:paraId="7E9790A3">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default" w:ascii="宋体" w:hAnsi="宋体" w:eastAsia="宋体" w:cs="宋体"/>
          <w:sz w:val="18"/>
          <w:szCs w:val="18"/>
        </w:rPr>
      </w:pPr>
      <w:r>
        <w:rPr>
          <w:rFonts w:hint="eastAsia" w:ascii="宋体" w:hAnsi="宋体" w:eastAsia="宋体" w:cs="宋体"/>
          <w:sz w:val="18"/>
          <w:szCs w:val="18"/>
        </w:rPr>
        <w:t>2025年7月9日，已完成工商登记，合资公司名称为青岛海友汇泉食品科技有限公司。</w:t>
      </w:r>
    </w:p>
    <w:p w14:paraId="6B9069C8">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default" w:ascii="宋体" w:hAnsi="宋体" w:eastAsia="宋体" w:cs="宋体"/>
          <w:sz w:val="18"/>
          <w:szCs w:val="18"/>
        </w:rPr>
      </w:pPr>
      <w:r>
        <w:rPr>
          <w:rFonts w:hint="eastAsia" w:ascii="宋体" w:hAnsi="宋体" w:eastAsia="宋体" w:cs="宋体"/>
          <w:sz w:val="18"/>
          <w:szCs w:val="18"/>
        </w:rPr>
        <w:t>（二）瑕疵房产办理</w:t>
      </w:r>
    </w:p>
    <w:p w14:paraId="3EFF078F">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default" w:ascii="宋体" w:hAnsi="宋体" w:eastAsia="宋体" w:cs="宋体"/>
          <w:sz w:val="18"/>
          <w:szCs w:val="18"/>
        </w:rPr>
      </w:pPr>
      <w:r>
        <w:rPr>
          <w:rFonts w:hint="eastAsia" w:ascii="宋体" w:hAnsi="宋体" w:eastAsia="宋体" w:cs="宋体"/>
          <w:sz w:val="18"/>
          <w:szCs w:val="18"/>
        </w:rPr>
        <w:t>公司一处瑕疵房产（未办理产权登记，产权人不清晰，属于历史遗留问题）位于青岛市市南区盐城路4号乙。2025年3月31日公司与青岛钟表总公司共同在市南区不动产登记中心税务窗口开具缴税凭证两份，其中：纳税人青岛钟表总公司支付的税金及登记费1,084,826.52元，其中包含：办理首登证登记费</w:t>
      </w:r>
      <w:bookmarkStart w:id="13" w:name="_GoBack"/>
      <w:bookmarkEnd w:id="13"/>
      <w:r>
        <w:rPr>
          <w:rFonts w:hint="eastAsia" w:ascii="宋体" w:hAnsi="宋体" w:eastAsia="宋体" w:cs="宋体"/>
          <w:sz w:val="18"/>
          <w:szCs w:val="18"/>
        </w:rPr>
        <w:t>550.00元；办理产权转移需要缴纳的税金1,084,276.52元。2025年4月28日，公司和青岛钟表总公司双方各自缴纳税金后，青岛市市南区盐城路4号乙（含乙-3、乙-4、乙-5、乙-6）房产产权过户至我公司。</w:t>
      </w:r>
    </w:p>
    <w:p w14:paraId="1667ECB9">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default" w:ascii="宋体" w:hAnsi="宋体" w:eastAsia="宋体" w:cs="宋体"/>
          <w:sz w:val="18"/>
          <w:szCs w:val="18"/>
        </w:rPr>
      </w:pPr>
      <w:r>
        <w:rPr>
          <w:rFonts w:hint="eastAsia" w:ascii="宋体" w:hAnsi="宋体" w:eastAsia="宋体" w:cs="宋体"/>
          <w:sz w:val="18"/>
          <w:szCs w:val="18"/>
        </w:rPr>
        <w:t>2019年，公司与青岛钟表总公司签订的《确认协议书》（公司披露的《首次公开发行股票招股说明书》第六节之“五、主要资产情况”中已说明签订《确认协议书》事项）中约定，因办理产权证和过户所产生的所有费用由公司承担。在产权转移登记过程中，青岛钟表总公司支付的税金及登记费应由公司承担。因青岛钟表总公司属于公司关联方，本事项构成关联交易。</w:t>
      </w:r>
    </w:p>
    <w:p w14:paraId="1E8AFB79">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2025年5月28日，经第十一届董事会独立董事第一次专门会议、董事长办公会同意在青岛市市南区盐城路4号乙房产办理产权证过程中与青岛钟表总公司产生的关联交易，按实际产生金额向青岛钟表总公司支付，费用合计金额1,084,826.52元。本事项在公司董事长审批权限内，无需提交董事会、股东会审议。</w:t>
      </w:r>
    </w:p>
    <w:p w14:paraId="6A6F02C0">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sz w:val="18"/>
          <w:szCs w:val="18"/>
          <w:lang w:val="en-US" w:eastAsia="zh-CN"/>
        </w:rPr>
      </w:pPr>
    </w:p>
    <w:p w14:paraId="5E8A993B">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特此公告。</w:t>
      </w:r>
    </w:p>
    <w:p w14:paraId="115C7E35">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sz w:val="18"/>
          <w:szCs w:val="18"/>
        </w:rPr>
      </w:pPr>
    </w:p>
    <w:p w14:paraId="36A03D27">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sz w:val="18"/>
          <w:szCs w:val="18"/>
        </w:rPr>
      </w:pPr>
    </w:p>
    <w:p w14:paraId="7C12D5F7">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青岛食品股份有限公司</w:t>
      </w:r>
    </w:p>
    <w:p w14:paraId="1A1BBDAC">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董事会</w:t>
      </w:r>
    </w:p>
    <w:p w14:paraId="2329AFBA">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righ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2026年4月17日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F1FB">
    <w:pPr>
      <w:pStyle w:val="11"/>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339D8">
    <w:pPr>
      <w:pStyle w:val="9"/>
      <w:pBdr>
        <w:bottom w:val="single" w:color="auto" w:sz="6" w:space="1"/>
      </w:pBdr>
    </w:pPr>
    <w:r>
      <w:drawing>
        <wp:anchor distT="0" distB="0" distL="114300" distR="114300" simplePos="0" relativeHeight="251659264" behindDoc="1" locked="0" layoutInCell="1" allowOverlap="1">
          <wp:simplePos x="0" y="0"/>
          <wp:positionH relativeFrom="column">
            <wp:posOffset>-22225</wp:posOffset>
          </wp:positionH>
          <wp:positionV relativeFrom="paragraph">
            <wp:posOffset>-562610</wp:posOffset>
          </wp:positionV>
          <wp:extent cx="934085" cy="934085"/>
          <wp:effectExtent l="0" t="0" r="0" b="0"/>
          <wp:wrapNone/>
          <wp:docPr id="2" name="图片 2" descr="微信图片_2023120116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201160657"/>
                  <pic:cNvPicPr>
                    <a:picLocks noChangeAspect="1"/>
                  </pic:cNvPicPr>
                </pic:nvPicPr>
                <pic:blipFill>
                  <a:blip r:embed="rId1"/>
                  <a:stretch>
                    <a:fillRect/>
                  </a:stretch>
                </pic:blipFill>
                <pic:spPr>
                  <a:xfrm>
                    <a:off x="0" y="0"/>
                    <a:ext cx="934085" cy="934085"/>
                  </a:xfrm>
                  <a:prstGeom prst="rect">
                    <a:avLst/>
                  </a:prstGeom>
                </pic:spPr>
              </pic:pic>
            </a:graphicData>
          </a:graphic>
        </wp:anchor>
      </w:drawing>
    </w:r>
    <w:r>
      <w:t>青岛食品股份有限公司2025年年度报告摘要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rsids>
    <w:rsidRoot w:val="00000000"/>
    <w:rsid w:val="06792CDE"/>
    <w:rsid w:val="0925043F"/>
    <w:rsid w:val="200C02C1"/>
    <w:rsid w:val="23AB6087"/>
    <w:rsid w:val="2F274058"/>
    <w:rsid w:val="36865136"/>
    <w:rsid w:val="45E4680E"/>
    <w:rsid w:val="47817854"/>
    <w:rsid w:val="487C4CF3"/>
    <w:rsid w:val="5AEF4CA0"/>
    <w:rsid w:val="7FE743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宋体" w:cs="Times New Roman"/>
      <w:sz w:val="21"/>
      <w:szCs w:val="22"/>
    </w:rPr>
  </w:style>
  <w:style w:type="paragraph" w:styleId="2">
    <w:name w:val="heading 2"/>
    <w:basedOn w:val="1"/>
    <w:next w:val="1"/>
    <w:unhideWhenUsed/>
    <w:qFormat/>
    <w:uiPriority w:val="9"/>
    <w:pPr>
      <w:keepNext/>
      <w:keepLines/>
      <w:spacing w:before="156" w:after="156" w:line="240" w:lineRule="auto"/>
      <w:outlineLvl w:val="1"/>
    </w:pPr>
    <w:rPr>
      <w:sz w:val="21"/>
      <w:szCs w:val="21"/>
    </w:rPr>
  </w:style>
  <w:style w:type="paragraph" w:styleId="3">
    <w:name w:val="heading 3"/>
    <w:basedOn w:val="1"/>
    <w:next w:val="1"/>
    <w:qFormat/>
    <w:uiPriority w:val="99"/>
    <w:pPr>
      <w:keepNext/>
      <w:keepLines/>
      <w:spacing w:before="300" w:after="300" w:line="241" w:lineRule="auto"/>
      <w:jc w:val="both"/>
      <w:outlineLvl w:val="2"/>
    </w:pPr>
    <w:rPr>
      <w:rFonts w:eastAsia="宋体"/>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1"/>
    <w:basedOn w:val="1"/>
    <w:next w:val="1"/>
    <w:autoRedefine/>
    <w:qFormat/>
    <w:uiPriority w:val="39"/>
  </w:style>
  <w:style w:type="paragraph" w:styleId="5">
    <w:name w:val="toc 2"/>
    <w:basedOn w:val="1"/>
    <w:next w:val="1"/>
    <w:autoRedefine/>
    <w:unhideWhenUsed/>
    <w:qFormat/>
    <w:uiPriority w:val="39"/>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Header 1"/>
    <w:qFormat/>
    <w:uiPriority w:val="0"/>
    <w:pPr>
      <w:jc w:val="right"/>
    </w:pPr>
    <w:rPr>
      <w:rFonts w:ascii="宋体" w:hAnsi="Times New Roman" w:eastAsia="宋体" w:cs="Times New Roman"/>
      <w:sz w:val="18"/>
      <w:szCs w:val="18"/>
    </w:rPr>
  </w:style>
  <w:style w:type="paragraph" w:customStyle="1" w:styleId="10">
    <w:name w:val="heading h1"/>
    <w:basedOn w:val="1"/>
    <w:next w:val="1"/>
    <w:qFormat/>
    <w:uiPriority w:val="9"/>
    <w:pPr>
      <w:keepNext/>
      <w:keepLines/>
      <w:spacing w:before="240" w:after="240" w:line="578" w:lineRule="auto"/>
      <w:outlineLvl w:val="0"/>
    </w:pPr>
    <w:rPr>
      <w:kern w:val="44"/>
      <w:sz w:val="44"/>
      <w:szCs w:val="44"/>
    </w:rPr>
  </w:style>
  <w:style w:type="paragraph" w:customStyle="1" w:styleId="11">
    <w:name w:val="fotter 1"/>
    <w:qFormat/>
    <w:uiPriority w:val="0"/>
    <w:pPr>
      <w:jc w:val="right"/>
    </w:pPr>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1618</Words>
  <Characters>2323</Characters>
  <TotalTime>20</TotalTime>
  <ScaleCrop>false</ScaleCrop>
  <LinksUpToDate>false</LinksUpToDate>
  <CharactersWithSpaces>2374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2026-04-08T00:08:00Z</dcterms:created>
  <dc:creator>Administrator</dc:creator>
  <cp:lastModifiedBy>李春宏</cp:lastModifiedBy>
  <cp:lastPrinted>2026-04-14T11:54:00Z</cp:lastPrinted>
  <dcterms:modified xsi:type="dcterms:W3CDTF">2026-04-16T10:20:24Z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eyJoZGlkIjoiYTE2YjhhMjQ3NWEyOTgzMmEzNDFiNjBlMTVjNmYyNGIiLCJ1c2VySWQiOiIxNTc0NzMxNDQ4In0=</vt:lpwstr>
  </property>
  <property fmtid="{D5CDD505-2E9C-101B-9397-08002B2CF9AE}" pid="3" name="KSOProductBuildVer">
    <vt:lpwstr>2052-12.1.0.23542</vt:lpwstr>
  </property>
  <property fmtid="{D5CDD505-2E9C-101B-9397-08002B2CF9AE}" pid="4" name="ICV">
    <vt:lpwstr>45D170509DB24A589BB13874EC268679_12</vt:lpwstr>
  </property>
</Properties>
</file>